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BD" w:rsidRDefault="00D30FBD" w:rsidP="0054105D">
      <w:pPr>
        <w:jc w:val="center"/>
        <w:rPr>
          <w:b/>
          <w:lang w:val="en-US"/>
        </w:rPr>
      </w:pPr>
    </w:p>
    <w:p w:rsidR="005D66EA" w:rsidRDefault="005D66EA" w:rsidP="0054105D">
      <w:pPr>
        <w:jc w:val="center"/>
        <w:rPr>
          <w:b/>
          <w:lang w:val="uk-UA"/>
        </w:rPr>
      </w:pPr>
    </w:p>
    <w:p w:rsidR="005D66EA" w:rsidRDefault="005D66EA" w:rsidP="0054105D">
      <w:pPr>
        <w:jc w:val="center"/>
        <w:rPr>
          <w:b/>
          <w:lang w:val="uk-UA"/>
        </w:rPr>
      </w:pPr>
    </w:p>
    <w:p w:rsidR="0054105D" w:rsidRDefault="00216D2D" w:rsidP="0054105D">
      <w:pPr>
        <w:jc w:val="center"/>
        <w:rPr>
          <w:b/>
          <w:lang w:val="uk-UA"/>
        </w:rPr>
      </w:pPr>
      <w:r>
        <w:rPr>
          <w:b/>
          <w:lang w:val="uk-UA"/>
        </w:rPr>
        <w:t>ЗМІНИ І ДОПОВНЕННЯ</w:t>
      </w:r>
    </w:p>
    <w:p w:rsidR="00A42D22" w:rsidRPr="003B0B70" w:rsidRDefault="003B0B70" w:rsidP="00A42D22">
      <w:pPr>
        <w:jc w:val="center"/>
        <w:rPr>
          <w:lang w:val="uk-UA"/>
        </w:rPr>
      </w:pPr>
      <w:r>
        <w:rPr>
          <w:lang w:val="uk-UA"/>
        </w:rPr>
        <w:t xml:space="preserve">до чинної нормативно-законодавчої бази України </w:t>
      </w:r>
      <w:r w:rsidR="00A42D22" w:rsidRPr="00A42D22">
        <w:rPr>
          <w:lang w:val="uk-UA"/>
        </w:rPr>
        <w:t>щодо уникнення подвійно</w:t>
      </w:r>
      <w:r w:rsidR="00ED685A">
        <w:rPr>
          <w:lang w:val="uk-UA"/>
        </w:rPr>
        <w:t>ї</w:t>
      </w:r>
      <w:r w:rsidR="00175454">
        <w:rPr>
          <w:lang w:val="uk-UA"/>
        </w:rPr>
        <w:t xml:space="preserve"> реєстрації права оренди землі</w:t>
      </w:r>
    </w:p>
    <w:p w:rsidR="005D66EA" w:rsidRDefault="005D66EA" w:rsidP="00A42D22">
      <w:pPr>
        <w:jc w:val="center"/>
        <w:rPr>
          <w:lang w:val="uk-UA"/>
        </w:rPr>
      </w:pPr>
    </w:p>
    <w:p w:rsidR="005D66EA" w:rsidRPr="00A42D22" w:rsidRDefault="005D66EA" w:rsidP="00A42D22">
      <w:pPr>
        <w:jc w:val="center"/>
        <w:rPr>
          <w:lang w:val="uk-UA"/>
        </w:rPr>
      </w:pPr>
    </w:p>
    <w:tbl>
      <w:tblPr>
        <w:tblStyle w:val="ad"/>
        <w:tblW w:w="0" w:type="auto"/>
        <w:tblLook w:val="04A0"/>
      </w:tblPr>
      <w:tblGrid>
        <w:gridCol w:w="7393"/>
        <w:gridCol w:w="7393"/>
      </w:tblGrid>
      <w:tr w:rsidR="00116D4B" w:rsidRPr="00974558" w:rsidTr="00C2716E">
        <w:tc>
          <w:tcPr>
            <w:tcW w:w="14786" w:type="dxa"/>
            <w:gridSpan w:val="2"/>
          </w:tcPr>
          <w:p w:rsidR="00116D4B" w:rsidRDefault="00116D4B" w:rsidP="00116D4B">
            <w:pPr>
              <w:jc w:val="center"/>
              <w:rPr>
                <w:b/>
                <w:lang w:val="uk-UA"/>
              </w:rPr>
            </w:pPr>
          </w:p>
          <w:p w:rsidR="005D66EA" w:rsidRDefault="00116D4B" w:rsidP="00116D4B">
            <w:pPr>
              <w:jc w:val="center"/>
              <w:rPr>
                <w:b/>
                <w:lang w:val="uk-UA"/>
              </w:rPr>
            </w:pPr>
            <w:r w:rsidRPr="00A42D22">
              <w:rPr>
                <w:b/>
                <w:lang w:val="uk-UA"/>
              </w:rPr>
              <w:t>Постанов</w:t>
            </w:r>
            <w:r>
              <w:rPr>
                <w:b/>
                <w:lang w:val="uk-UA"/>
              </w:rPr>
              <w:t>а</w:t>
            </w:r>
            <w:r w:rsidRPr="00A42D22">
              <w:rPr>
                <w:b/>
                <w:lang w:val="uk-UA"/>
              </w:rPr>
              <w:t xml:space="preserve"> </w:t>
            </w:r>
            <w:r>
              <w:rPr>
                <w:b/>
                <w:lang w:val="uk-UA"/>
              </w:rPr>
              <w:t>К</w:t>
            </w:r>
            <w:r w:rsidR="005D66EA">
              <w:rPr>
                <w:b/>
                <w:lang w:val="uk-UA"/>
              </w:rPr>
              <w:t xml:space="preserve">абінету Міністрів України </w:t>
            </w:r>
            <w:r w:rsidRPr="00A42D22">
              <w:rPr>
                <w:b/>
                <w:lang w:val="uk-UA"/>
              </w:rPr>
              <w:t xml:space="preserve">№ 1141 від 26.10.2011 </w:t>
            </w:r>
          </w:p>
          <w:p w:rsidR="00116D4B" w:rsidRDefault="00116D4B" w:rsidP="00116D4B">
            <w:pPr>
              <w:jc w:val="center"/>
              <w:rPr>
                <w:b/>
                <w:lang w:val="uk-UA"/>
              </w:rPr>
            </w:pPr>
            <w:r w:rsidRPr="00A42D22">
              <w:rPr>
                <w:b/>
                <w:lang w:val="uk-UA"/>
              </w:rPr>
              <w:t xml:space="preserve">"Про затвердження Порядку ведення Державного реєстру речових прав на нерухоме майно" </w:t>
            </w:r>
          </w:p>
          <w:p w:rsidR="00116D4B" w:rsidRPr="00974558" w:rsidRDefault="00116D4B" w:rsidP="00974558">
            <w:pPr>
              <w:jc w:val="center"/>
              <w:rPr>
                <w:lang w:val="uk-UA"/>
              </w:rPr>
            </w:pPr>
          </w:p>
        </w:tc>
      </w:tr>
      <w:tr w:rsidR="00974558" w:rsidRPr="003B0B70" w:rsidTr="00974558">
        <w:tc>
          <w:tcPr>
            <w:tcW w:w="7393" w:type="dxa"/>
          </w:tcPr>
          <w:p w:rsidR="00974558" w:rsidRPr="00974558" w:rsidRDefault="00974558" w:rsidP="00974558">
            <w:pPr>
              <w:rPr>
                <w:lang w:val="uk-UA"/>
              </w:rPr>
            </w:pPr>
            <w:r w:rsidRPr="00974558">
              <w:rPr>
                <w:lang w:val="uk-UA"/>
              </w:rPr>
              <w:t>4. Ведення Державного реєстру прав передбачає:</w:t>
            </w:r>
          </w:p>
          <w:p w:rsidR="00974558" w:rsidRPr="00974558" w:rsidRDefault="00974558" w:rsidP="00974558">
            <w:pPr>
              <w:rPr>
                <w:lang w:val="uk-UA"/>
              </w:rPr>
            </w:pPr>
            <w:r>
              <w:rPr>
                <w:lang w:val="uk-UA"/>
              </w:rPr>
              <w:t>…</w:t>
            </w:r>
          </w:p>
          <w:p w:rsidR="00974558" w:rsidRDefault="00974558" w:rsidP="00974558">
            <w:pPr>
              <w:rPr>
                <w:lang w:val="uk-UA"/>
              </w:rPr>
            </w:pPr>
            <w:r w:rsidRPr="00974558">
              <w:rPr>
                <w:lang w:val="uk-UA"/>
              </w:rPr>
              <w:t>2) пошук відомостей у Державному реєстрі прав;</w:t>
            </w:r>
          </w:p>
          <w:p w:rsidR="00974558" w:rsidRPr="00974558" w:rsidRDefault="00974558" w:rsidP="00974558">
            <w:pPr>
              <w:rPr>
                <w:lang w:val="uk-UA"/>
              </w:rPr>
            </w:pPr>
          </w:p>
        </w:tc>
        <w:tc>
          <w:tcPr>
            <w:tcW w:w="7393" w:type="dxa"/>
          </w:tcPr>
          <w:p w:rsidR="00974558" w:rsidRPr="00974558" w:rsidRDefault="00974558" w:rsidP="00974558">
            <w:pPr>
              <w:rPr>
                <w:lang w:val="uk-UA"/>
              </w:rPr>
            </w:pPr>
            <w:r w:rsidRPr="00974558">
              <w:rPr>
                <w:lang w:val="uk-UA"/>
              </w:rPr>
              <w:t>4. Ведення Державного реєстру прав передбачає:</w:t>
            </w:r>
          </w:p>
          <w:p w:rsidR="00974558" w:rsidRPr="00974558" w:rsidRDefault="00974558" w:rsidP="00974558">
            <w:pPr>
              <w:rPr>
                <w:lang w:val="uk-UA"/>
              </w:rPr>
            </w:pPr>
            <w:r>
              <w:rPr>
                <w:lang w:val="uk-UA"/>
              </w:rPr>
              <w:t>…</w:t>
            </w:r>
          </w:p>
          <w:p w:rsidR="00974558" w:rsidRPr="00974558" w:rsidRDefault="00974558" w:rsidP="00974558">
            <w:pPr>
              <w:jc w:val="both"/>
              <w:rPr>
                <w:b/>
                <w:lang w:val="uk-UA"/>
              </w:rPr>
            </w:pPr>
            <w:r w:rsidRPr="00974558">
              <w:rPr>
                <w:lang w:val="uk-UA"/>
              </w:rPr>
              <w:t>2) пошук відомостей у Державному реєстрі прав</w:t>
            </w:r>
            <w:r>
              <w:rPr>
                <w:lang w:val="uk-UA"/>
              </w:rPr>
              <w:t xml:space="preserve">, </w:t>
            </w:r>
            <w:r w:rsidRPr="00974558">
              <w:rPr>
                <w:b/>
                <w:lang w:val="uk-UA"/>
              </w:rPr>
              <w:t>в Державно</w:t>
            </w:r>
            <w:r w:rsidR="00B06D3C">
              <w:rPr>
                <w:b/>
                <w:lang w:val="uk-UA"/>
              </w:rPr>
              <w:t>му</w:t>
            </w:r>
            <w:r w:rsidRPr="00974558">
              <w:rPr>
                <w:b/>
                <w:lang w:val="uk-UA"/>
              </w:rPr>
              <w:t xml:space="preserve"> земельному кадастрі, Книзі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974558" w:rsidRPr="00974558" w:rsidRDefault="00974558" w:rsidP="00974558">
            <w:pPr>
              <w:rPr>
                <w:lang w:val="uk-UA"/>
              </w:rPr>
            </w:pPr>
          </w:p>
        </w:tc>
      </w:tr>
      <w:tr w:rsidR="00974558" w:rsidRPr="003B0B70" w:rsidTr="00974558">
        <w:tc>
          <w:tcPr>
            <w:tcW w:w="7393" w:type="dxa"/>
          </w:tcPr>
          <w:p w:rsidR="00974558" w:rsidRDefault="00974558" w:rsidP="00974558">
            <w:pPr>
              <w:rPr>
                <w:lang w:val="uk-UA"/>
              </w:rPr>
            </w:pPr>
            <w:r w:rsidRPr="00974558">
              <w:rPr>
                <w:lang w:val="uk-UA"/>
              </w:rPr>
              <w:t>7. Під час реєстрації заяви (запиту) орган державної реєстрації прав, особа, якій відповідно до Закону України “Про державну реєстрацію речових прав на нерухоме майно та їх обтяжень” надано повноваження державного реєстратора з прийому та видачі документів, у випадках, передбачених законодавством, формує картку прийому відповідної заяви (запиту) та оформляє її у двох примірниках.</w:t>
            </w:r>
          </w:p>
          <w:p w:rsidR="00974558" w:rsidRPr="00974558" w:rsidRDefault="00974558" w:rsidP="00974558">
            <w:pPr>
              <w:rPr>
                <w:lang w:val="uk-UA"/>
              </w:rPr>
            </w:pPr>
          </w:p>
        </w:tc>
        <w:tc>
          <w:tcPr>
            <w:tcW w:w="7393" w:type="dxa"/>
          </w:tcPr>
          <w:p w:rsidR="00974558" w:rsidRDefault="00974558" w:rsidP="00974558">
            <w:pPr>
              <w:rPr>
                <w:lang w:val="uk-UA"/>
              </w:rPr>
            </w:pPr>
            <w:r w:rsidRPr="00974558">
              <w:rPr>
                <w:lang w:val="uk-UA"/>
              </w:rPr>
              <w:t xml:space="preserve">7. Під час реєстрації заяви (запиту) орган державної реєстрації прав, особа, якій відповідно до Закону України “Про державну реєстрацію речових прав на нерухоме майно та їх обтяжень” надано повноваження державного реєстратора з прийому та видачі документів, у випадках, передбачених законодавством, </w:t>
            </w:r>
            <w:r w:rsidR="006D7615" w:rsidRPr="006D7615">
              <w:rPr>
                <w:b/>
                <w:lang w:val="uk-UA"/>
              </w:rPr>
              <w:t>перевіряє наявність відповідних прав та їх обтяжень, після чого</w:t>
            </w:r>
            <w:r w:rsidR="006D7615">
              <w:rPr>
                <w:b/>
                <w:lang w:val="uk-UA"/>
              </w:rPr>
              <w:t xml:space="preserve"> у разі наявності прав власності та відсутності його відповідних обтяжень </w:t>
            </w:r>
            <w:r w:rsidR="006D7615">
              <w:rPr>
                <w:lang w:val="uk-UA"/>
              </w:rPr>
              <w:t xml:space="preserve"> </w:t>
            </w:r>
            <w:r w:rsidRPr="00974558">
              <w:rPr>
                <w:lang w:val="uk-UA"/>
              </w:rPr>
              <w:t>формує картку прийому відповідної заяви (запиту) та оформляє її у двох примірниках.</w:t>
            </w:r>
          </w:p>
          <w:p w:rsidR="00974558" w:rsidRPr="00974558" w:rsidRDefault="00974558" w:rsidP="00974558">
            <w:pPr>
              <w:rPr>
                <w:lang w:val="uk-UA"/>
              </w:rPr>
            </w:pPr>
          </w:p>
        </w:tc>
      </w:tr>
      <w:tr w:rsidR="006D7615" w:rsidRPr="003B0B70" w:rsidTr="00974558">
        <w:tc>
          <w:tcPr>
            <w:tcW w:w="7393" w:type="dxa"/>
          </w:tcPr>
          <w:p w:rsidR="006D7615" w:rsidRPr="006D7615" w:rsidRDefault="006D7615" w:rsidP="006D7615">
            <w:pPr>
              <w:rPr>
                <w:lang w:val="uk-UA"/>
              </w:rPr>
            </w:pPr>
            <w:r w:rsidRPr="006D7615">
              <w:rPr>
                <w:lang w:val="uk-UA"/>
              </w:rPr>
              <w:t>10. Під час розгляду заяви (запиту) державний реєстратор здійснює пошук у Державному реєстрі прав відомостей про:</w:t>
            </w:r>
          </w:p>
          <w:p w:rsidR="006D7615" w:rsidRPr="006D7615" w:rsidRDefault="006D7615" w:rsidP="006D7615">
            <w:pPr>
              <w:rPr>
                <w:lang w:val="uk-UA"/>
              </w:rPr>
            </w:pPr>
            <w:r w:rsidRPr="006D7615">
              <w:rPr>
                <w:lang w:val="uk-UA"/>
              </w:rPr>
              <w:t>нерухоме майно;</w:t>
            </w:r>
          </w:p>
          <w:p w:rsidR="006D7615" w:rsidRPr="006D7615" w:rsidRDefault="006D7615" w:rsidP="006D7615">
            <w:pPr>
              <w:rPr>
                <w:lang w:val="uk-UA"/>
              </w:rPr>
            </w:pPr>
            <w:r w:rsidRPr="006D7615">
              <w:rPr>
                <w:lang w:val="uk-UA"/>
              </w:rPr>
              <w:t>право власності та суб'єкта цього права;</w:t>
            </w:r>
          </w:p>
          <w:p w:rsidR="006D7615" w:rsidRPr="006D7615" w:rsidRDefault="006D7615" w:rsidP="006D7615">
            <w:pPr>
              <w:rPr>
                <w:lang w:val="uk-UA"/>
              </w:rPr>
            </w:pPr>
            <w:r w:rsidRPr="006D7615">
              <w:rPr>
                <w:lang w:val="uk-UA"/>
              </w:rPr>
              <w:lastRenderedPageBreak/>
              <w:t>інші речові права та суб'єкта цих прав;</w:t>
            </w:r>
          </w:p>
          <w:p w:rsidR="006D7615" w:rsidRPr="006D7615" w:rsidRDefault="006D7615" w:rsidP="006D7615">
            <w:pPr>
              <w:rPr>
                <w:lang w:val="uk-UA"/>
              </w:rPr>
            </w:pPr>
            <w:r w:rsidRPr="006D7615">
              <w:rPr>
                <w:lang w:val="uk-UA"/>
              </w:rPr>
              <w:t>іпотеку та суб’єкта цього права;</w:t>
            </w:r>
          </w:p>
          <w:p w:rsidR="006D7615" w:rsidRDefault="006D7615" w:rsidP="006D7615">
            <w:pPr>
              <w:rPr>
                <w:lang w:val="uk-UA"/>
              </w:rPr>
            </w:pPr>
            <w:r w:rsidRPr="006D7615">
              <w:rPr>
                <w:lang w:val="uk-UA"/>
              </w:rPr>
              <w:t>обтяження прав на нерухоме майно та суб'єкта цих прав.</w:t>
            </w:r>
          </w:p>
          <w:p w:rsidR="006D7615" w:rsidRPr="00974558" w:rsidRDefault="006D7615" w:rsidP="00974558">
            <w:pPr>
              <w:rPr>
                <w:lang w:val="uk-UA"/>
              </w:rPr>
            </w:pPr>
          </w:p>
        </w:tc>
        <w:tc>
          <w:tcPr>
            <w:tcW w:w="7393" w:type="dxa"/>
          </w:tcPr>
          <w:p w:rsidR="00B06D3C" w:rsidRPr="006D7615" w:rsidRDefault="00B06D3C" w:rsidP="00B06D3C">
            <w:pPr>
              <w:rPr>
                <w:lang w:val="uk-UA"/>
              </w:rPr>
            </w:pPr>
            <w:r w:rsidRPr="006D7615">
              <w:rPr>
                <w:lang w:val="uk-UA"/>
              </w:rPr>
              <w:lastRenderedPageBreak/>
              <w:t>10. Під час розгляду заяви (запиту) державний реєстратор здійснює пошук у Державному реєстрі прав відомостей про:</w:t>
            </w:r>
          </w:p>
          <w:p w:rsidR="00B06D3C" w:rsidRPr="006D7615" w:rsidRDefault="00B06D3C" w:rsidP="00B06D3C">
            <w:pPr>
              <w:rPr>
                <w:lang w:val="uk-UA"/>
              </w:rPr>
            </w:pPr>
            <w:r w:rsidRPr="006D7615">
              <w:rPr>
                <w:lang w:val="uk-UA"/>
              </w:rPr>
              <w:t>нерухоме майно;</w:t>
            </w:r>
          </w:p>
          <w:p w:rsidR="00B06D3C" w:rsidRPr="006D7615" w:rsidRDefault="00B06D3C" w:rsidP="00B06D3C">
            <w:pPr>
              <w:rPr>
                <w:lang w:val="uk-UA"/>
              </w:rPr>
            </w:pPr>
            <w:r w:rsidRPr="006D7615">
              <w:rPr>
                <w:lang w:val="uk-UA"/>
              </w:rPr>
              <w:t>право власності та суб'єкта цього права;</w:t>
            </w:r>
          </w:p>
          <w:p w:rsidR="00B06D3C" w:rsidRPr="006D7615" w:rsidRDefault="00B06D3C" w:rsidP="00B06D3C">
            <w:pPr>
              <w:rPr>
                <w:lang w:val="uk-UA"/>
              </w:rPr>
            </w:pPr>
            <w:r w:rsidRPr="006D7615">
              <w:rPr>
                <w:lang w:val="uk-UA"/>
              </w:rPr>
              <w:lastRenderedPageBreak/>
              <w:t>інші речові права та суб'єкта цих прав;</w:t>
            </w:r>
          </w:p>
          <w:p w:rsidR="00B06D3C" w:rsidRPr="006D7615" w:rsidRDefault="00B06D3C" w:rsidP="00B06D3C">
            <w:pPr>
              <w:rPr>
                <w:lang w:val="uk-UA"/>
              </w:rPr>
            </w:pPr>
            <w:r w:rsidRPr="006D7615">
              <w:rPr>
                <w:lang w:val="uk-UA"/>
              </w:rPr>
              <w:t>іпотеку та суб’єкта цього права;</w:t>
            </w:r>
          </w:p>
          <w:p w:rsidR="00B06D3C" w:rsidRDefault="00B06D3C" w:rsidP="00B06D3C">
            <w:pPr>
              <w:rPr>
                <w:lang w:val="uk-UA"/>
              </w:rPr>
            </w:pPr>
            <w:r w:rsidRPr="006D7615">
              <w:rPr>
                <w:lang w:val="uk-UA"/>
              </w:rPr>
              <w:t>обтяження прав на нерухоме майно та суб'єкта цих прав.</w:t>
            </w:r>
          </w:p>
          <w:p w:rsidR="00B06D3C" w:rsidRPr="00B06D3C" w:rsidRDefault="00B06D3C" w:rsidP="00B06D3C">
            <w:pPr>
              <w:jc w:val="both"/>
              <w:rPr>
                <w:b/>
                <w:lang w:val="uk-UA"/>
              </w:rPr>
            </w:pPr>
            <w:r>
              <w:rPr>
                <w:lang w:val="uk-UA"/>
              </w:rPr>
              <w:t xml:space="preserve">У разі відсутності цих відомостей у Державному реєстрі речових прав здійснюється додатковий пошук зазначених відомостей у </w:t>
            </w:r>
            <w:r w:rsidRPr="00974558">
              <w:rPr>
                <w:b/>
                <w:lang w:val="uk-UA"/>
              </w:rPr>
              <w:t>в Державно</w:t>
            </w:r>
            <w:r>
              <w:rPr>
                <w:b/>
                <w:lang w:val="uk-UA"/>
              </w:rPr>
              <w:t>му</w:t>
            </w:r>
            <w:r w:rsidRPr="00974558">
              <w:rPr>
                <w:b/>
                <w:lang w:val="uk-UA"/>
              </w:rPr>
              <w:t xml:space="preserve"> земельному кадастрі, Книзі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6D7615" w:rsidRPr="00974558" w:rsidRDefault="006D7615" w:rsidP="00974558">
            <w:pPr>
              <w:rPr>
                <w:lang w:val="uk-UA"/>
              </w:rPr>
            </w:pPr>
          </w:p>
        </w:tc>
      </w:tr>
      <w:tr w:rsidR="009C1186" w:rsidRPr="003B0B70" w:rsidTr="00974558">
        <w:tc>
          <w:tcPr>
            <w:tcW w:w="7393" w:type="dxa"/>
          </w:tcPr>
          <w:p w:rsidR="009C1186" w:rsidRDefault="009C1186" w:rsidP="006D7615">
            <w:pPr>
              <w:rPr>
                <w:lang w:val="uk-UA"/>
              </w:rPr>
            </w:pPr>
            <w:r w:rsidRPr="009C1186">
              <w:rPr>
                <w:lang w:val="uk-UA"/>
              </w:rPr>
              <w:lastRenderedPageBreak/>
              <w:t>29. У випадках, передбачених законодавством, державний реєстратор вносить до записів Державного реєстру прав відомості про перенесення записів про нерухоме майно, про право власності та суб’єкта цього права, про інші речові права та суб’єкта цих прав, про обтяження прав на нерухоме майно та суб’єкта цих прав із розділів, які закриваються, або спеціального розділу Державного реєстру прав, інформаційних систем, у яких до 1 січня 2013 р. відповідно до законодавства здійснювалася державна реєстрація прав (далі - інформаційна система).</w:t>
            </w:r>
          </w:p>
          <w:p w:rsidR="009C1186" w:rsidRPr="006D7615" w:rsidRDefault="009C1186" w:rsidP="006D7615">
            <w:pPr>
              <w:rPr>
                <w:lang w:val="uk-UA"/>
              </w:rPr>
            </w:pPr>
          </w:p>
        </w:tc>
        <w:tc>
          <w:tcPr>
            <w:tcW w:w="7393" w:type="dxa"/>
          </w:tcPr>
          <w:p w:rsidR="00E61D15" w:rsidRPr="00B06D3C" w:rsidRDefault="009C1186" w:rsidP="00E61D15">
            <w:pPr>
              <w:jc w:val="both"/>
              <w:rPr>
                <w:b/>
                <w:lang w:val="uk-UA"/>
              </w:rPr>
            </w:pPr>
            <w:r w:rsidRPr="009C1186">
              <w:rPr>
                <w:lang w:val="uk-UA"/>
              </w:rPr>
              <w:t>29. У випадках, передбачених законодавством, державний реєстратор вносить до записів Державного реєстру прав відомості про перенесення записів про нерухоме майно, про право власності та суб’єкта цього права, про інші речові права та суб’єкта цих прав, про обтяження прав на нерухоме майно та суб’єкта цих прав із розділів, які закриваються, або спеціального розділу Державного реєстру прав, інформаційних систем, у яких до 1 січня 2013 р. відповідно до законодавства здійснювалася державна реєстрація пра</w:t>
            </w:r>
            <w:r w:rsidR="00E61D15">
              <w:rPr>
                <w:lang w:val="uk-UA"/>
              </w:rPr>
              <w:t xml:space="preserve">в (далі - інформаційна система): </w:t>
            </w:r>
            <w:r w:rsidR="00E61D15" w:rsidRPr="00974558">
              <w:rPr>
                <w:b/>
                <w:lang w:val="uk-UA"/>
              </w:rPr>
              <w:t>Державно</w:t>
            </w:r>
            <w:r w:rsidR="00E61D15">
              <w:rPr>
                <w:b/>
                <w:lang w:val="uk-UA"/>
              </w:rPr>
              <w:t>го</w:t>
            </w:r>
            <w:r w:rsidR="00E61D15" w:rsidRPr="00974558">
              <w:rPr>
                <w:b/>
                <w:lang w:val="uk-UA"/>
              </w:rPr>
              <w:t xml:space="preserve"> земельно</w:t>
            </w:r>
            <w:r w:rsidR="00E61D15">
              <w:rPr>
                <w:b/>
                <w:lang w:val="uk-UA"/>
              </w:rPr>
              <w:t>го</w:t>
            </w:r>
            <w:r w:rsidR="00E61D15" w:rsidRPr="00974558">
              <w:rPr>
                <w:b/>
                <w:lang w:val="uk-UA"/>
              </w:rPr>
              <w:t xml:space="preserve"> кадастр</w:t>
            </w:r>
            <w:r w:rsidR="00E61D15">
              <w:rPr>
                <w:b/>
                <w:lang w:val="uk-UA"/>
              </w:rPr>
              <w:t>у</w:t>
            </w:r>
            <w:r w:rsidR="00E61D15" w:rsidRPr="00974558">
              <w:rPr>
                <w:b/>
                <w:lang w:val="uk-UA"/>
              </w:rPr>
              <w:t>, Кни</w:t>
            </w:r>
            <w:r w:rsidR="00E61D15">
              <w:rPr>
                <w:b/>
                <w:lang w:val="uk-UA"/>
              </w:rPr>
              <w:t>ги</w:t>
            </w:r>
            <w:r w:rsidR="00E61D15" w:rsidRPr="00974558">
              <w:rPr>
                <w:b/>
                <w:lang w:val="uk-UA"/>
              </w:rPr>
              <w:t xml:space="preserve">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9C1186" w:rsidRPr="006D7615" w:rsidRDefault="009C1186" w:rsidP="00B06D3C">
            <w:pPr>
              <w:rPr>
                <w:lang w:val="uk-UA"/>
              </w:rPr>
            </w:pPr>
          </w:p>
        </w:tc>
      </w:tr>
      <w:tr w:rsidR="00116D4B" w:rsidRPr="00974558" w:rsidTr="006935C8">
        <w:tc>
          <w:tcPr>
            <w:tcW w:w="14786" w:type="dxa"/>
            <w:gridSpan w:val="2"/>
          </w:tcPr>
          <w:p w:rsidR="00116D4B" w:rsidRDefault="00116D4B" w:rsidP="00E61D15">
            <w:pPr>
              <w:jc w:val="both"/>
              <w:rPr>
                <w:lang w:val="uk-UA"/>
              </w:rPr>
            </w:pPr>
            <w:r w:rsidRPr="00175454">
              <w:rPr>
                <w:lang w:val="uk-UA"/>
              </w:rPr>
              <w:lastRenderedPageBreak/>
              <w:br w:type="page"/>
            </w:r>
          </w:p>
          <w:p w:rsidR="005D66EA" w:rsidRDefault="005D66EA" w:rsidP="005D66EA">
            <w:pPr>
              <w:jc w:val="center"/>
              <w:rPr>
                <w:b/>
                <w:lang w:val="uk-UA"/>
              </w:rPr>
            </w:pPr>
            <w:r w:rsidRPr="00A42D22">
              <w:rPr>
                <w:b/>
                <w:lang w:val="uk-UA"/>
              </w:rPr>
              <w:t>Постанов</w:t>
            </w:r>
            <w:r>
              <w:rPr>
                <w:b/>
                <w:lang w:val="uk-UA"/>
              </w:rPr>
              <w:t>а</w:t>
            </w:r>
            <w:r w:rsidRPr="00A42D22">
              <w:rPr>
                <w:b/>
                <w:lang w:val="uk-UA"/>
              </w:rPr>
              <w:t xml:space="preserve"> </w:t>
            </w:r>
            <w:r>
              <w:rPr>
                <w:b/>
                <w:lang w:val="uk-UA"/>
              </w:rPr>
              <w:t xml:space="preserve">Кабінету Міністрів України </w:t>
            </w:r>
            <w:r w:rsidRPr="00A42D22">
              <w:rPr>
                <w:b/>
                <w:lang w:val="uk-UA"/>
              </w:rPr>
              <w:t>№ 11</w:t>
            </w:r>
            <w:r>
              <w:rPr>
                <w:b/>
                <w:lang w:val="uk-UA"/>
              </w:rPr>
              <w:t>27</w:t>
            </w:r>
            <w:r w:rsidRPr="00A42D22">
              <w:rPr>
                <w:b/>
                <w:lang w:val="uk-UA"/>
              </w:rPr>
              <w:t xml:space="preserve"> від 2</w:t>
            </w:r>
            <w:r>
              <w:rPr>
                <w:b/>
                <w:lang w:val="uk-UA"/>
              </w:rPr>
              <w:t>5</w:t>
            </w:r>
            <w:r w:rsidRPr="00A42D22">
              <w:rPr>
                <w:b/>
                <w:lang w:val="uk-UA"/>
              </w:rPr>
              <w:t>.1</w:t>
            </w:r>
            <w:r>
              <w:rPr>
                <w:b/>
                <w:lang w:val="uk-UA"/>
              </w:rPr>
              <w:t>2</w:t>
            </w:r>
            <w:r w:rsidRPr="00A42D22">
              <w:rPr>
                <w:b/>
                <w:lang w:val="uk-UA"/>
              </w:rPr>
              <w:t>.</w:t>
            </w:r>
            <w:r>
              <w:rPr>
                <w:b/>
                <w:lang w:val="uk-UA"/>
              </w:rPr>
              <w:t>2016</w:t>
            </w:r>
          </w:p>
          <w:p w:rsidR="00116D4B" w:rsidRPr="005D66EA" w:rsidRDefault="005D66EA" w:rsidP="005D66EA">
            <w:pPr>
              <w:jc w:val="center"/>
              <w:rPr>
                <w:b/>
                <w:lang w:val="uk-UA"/>
              </w:rPr>
            </w:pPr>
            <w:r w:rsidRPr="00A42D22">
              <w:rPr>
                <w:b/>
                <w:lang w:val="uk-UA"/>
              </w:rPr>
              <w:t>"</w:t>
            </w:r>
            <w:r w:rsidRPr="005D66EA">
              <w:rPr>
                <w:b/>
                <w:lang w:val="uk-UA"/>
              </w:rPr>
              <w:t>Про державну реєстрацію речових прав на нерухоме майно та їх обтяжень</w:t>
            </w:r>
            <w:r>
              <w:rPr>
                <w:b/>
                <w:lang w:val="uk-UA"/>
              </w:rPr>
              <w:t>"</w:t>
            </w:r>
          </w:p>
          <w:p w:rsidR="005D66EA" w:rsidRPr="009C1186" w:rsidRDefault="005D66EA" w:rsidP="005D66EA">
            <w:pPr>
              <w:jc w:val="both"/>
              <w:rPr>
                <w:lang w:val="uk-UA"/>
              </w:rPr>
            </w:pPr>
          </w:p>
        </w:tc>
      </w:tr>
      <w:tr w:rsidR="00116D4B" w:rsidRPr="003B0B70" w:rsidTr="00974558">
        <w:tc>
          <w:tcPr>
            <w:tcW w:w="7393" w:type="dxa"/>
          </w:tcPr>
          <w:p w:rsidR="00116D4B" w:rsidRPr="009C1186" w:rsidRDefault="00116D4B" w:rsidP="006D7615">
            <w:pPr>
              <w:rPr>
                <w:lang w:val="uk-UA"/>
              </w:rPr>
            </w:pPr>
            <w:r w:rsidRPr="00116D4B">
              <w:rPr>
                <w:lang w:val="uk-UA"/>
              </w:rPr>
              <w:t>12. Розгляд заяви та документів, поданих для державної реєстрації прав, здійснюється державним реєстратором, який встановлює черговість розгляду заяв, що зареєстровані в базі даних заяв на це саме майно, а також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та їх обтяженнями.</w:t>
            </w:r>
          </w:p>
        </w:tc>
        <w:tc>
          <w:tcPr>
            <w:tcW w:w="7393" w:type="dxa"/>
          </w:tcPr>
          <w:p w:rsidR="00583E9A" w:rsidRDefault="00116D4B" w:rsidP="00E61D15">
            <w:pPr>
              <w:jc w:val="both"/>
              <w:rPr>
                <w:lang w:val="uk-UA"/>
              </w:rPr>
            </w:pPr>
            <w:r w:rsidRPr="00116D4B">
              <w:rPr>
                <w:lang w:val="uk-UA"/>
              </w:rPr>
              <w:t>12. Розгляд заяви та документів, поданих для державної реєстрації прав, здійснюється державним реєстратором, який встановлює черговість розгляду заяв, що зареєстровані в базі даних заяв на це саме майно, а також відповідність заявлених прав і поданих документів вимогам законодавства, а також відсутність суперечностей між заявленими та вже зареєстрованими реч</w:t>
            </w:r>
            <w:r w:rsidR="00583E9A">
              <w:rPr>
                <w:lang w:val="uk-UA"/>
              </w:rPr>
              <w:t xml:space="preserve">овими правами та їх обтяженнями </w:t>
            </w:r>
            <w:r w:rsidR="00583E9A" w:rsidRPr="00583E9A">
              <w:rPr>
                <w:b/>
                <w:lang w:val="uk-UA"/>
              </w:rPr>
              <w:t>в Державному реєстрі речових прав, Державному земельному кадаст</w:t>
            </w:r>
            <w:r w:rsidR="00583E9A" w:rsidRPr="00974558">
              <w:rPr>
                <w:b/>
                <w:lang w:val="uk-UA"/>
              </w:rPr>
              <w:t>рі, Книзі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583E9A" w:rsidRPr="009C1186" w:rsidRDefault="00583E9A" w:rsidP="00E61D15">
            <w:pPr>
              <w:jc w:val="both"/>
              <w:rPr>
                <w:lang w:val="uk-UA"/>
              </w:rPr>
            </w:pPr>
          </w:p>
        </w:tc>
      </w:tr>
    </w:tbl>
    <w:p w:rsidR="00974558" w:rsidRPr="00A42D22" w:rsidRDefault="00974558" w:rsidP="00A42D22">
      <w:pPr>
        <w:jc w:val="center"/>
        <w:rPr>
          <w:b/>
          <w:lang w:val="uk-UA"/>
        </w:rPr>
      </w:pPr>
    </w:p>
    <w:sectPr w:rsidR="00974558" w:rsidRPr="00A42D22" w:rsidSect="00587746">
      <w:headerReference w:type="default" r:id="rId8"/>
      <w:footerReference w:type="default" r:id="rId9"/>
      <w:pgSz w:w="16838" w:h="11906" w:orient="landscape"/>
      <w:pgMar w:top="1417" w:right="1134" w:bottom="850" w:left="1134" w:header="142" w:footer="3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2DD" w:rsidRDefault="004862DD" w:rsidP="00EA6246">
      <w:r>
        <w:separator/>
      </w:r>
    </w:p>
  </w:endnote>
  <w:endnote w:type="continuationSeparator" w:id="1">
    <w:p w:rsidR="004862DD" w:rsidRDefault="004862DD" w:rsidP="00EA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63" w:rsidRPr="002C718D" w:rsidRDefault="00145263" w:rsidP="00587746">
    <w:pPr>
      <w:pStyle w:val="af0"/>
      <w:ind w:right="-739"/>
      <w:jc w:val="right"/>
      <w:rPr>
        <w:rFonts w:ascii="Georgia" w:hAnsi="Georgia"/>
        <w:sz w:val="22"/>
        <w:lang w:val="uk-UA"/>
      </w:rPr>
    </w:pPr>
    <w:r w:rsidRPr="002C718D">
      <w:rPr>
        <w:rFonts w:ascii="Georgia" w:hAnsi="Georgia"/>
        <w:i/>
        <w:sz w:val="18"/>
        <w:szCs w:val="18"/>
        <w:lang w:val="uk-UA"/>
      </w:rPr>
      <w:t xml:space="preserve">Версія </w:t>
    </w:r>
    <w:r w:rsidR="008E631C">
      <w:rPr>
        <w:rFonts w:ascii="Georgia" w:hAnsi="Georgia"/>
        <w:i/>
        <w:sz w:val="18"/>
        <w:szCs w:val="18"/>
        <w:lang w:val="uk-UA"/>
      </w:rPr>
      <w:t>11</w:t>
    </w:r>
    <w:r w:rsidRPr="002C718D">
      <w:rPr>
        <w:rFonts w:ascii="Georgia" w:hAnsi="Georgia"/>
        <w:i/>
        <w:sz w:val="18"/>
        <w:szCs w:val="18"/>
        <w:lang w:val="uk-UA"/>
      </w:rPr>
      <w:t>.0</w:t>
    </w:r>
    <w:r w:rsidR="008E631C">
      <w:rPr>
        <w:rFonts w:ascii="Georgia" w:hAnsi="Georgia"/>
        <w:i/>
        <w:sz w:val="18"/>
        <w:szCs w:val="18"/>
        <w:lang w:val="uk-UA"/>
      </w:rPr>
      <w:t>8</w:t>
    </w:r>
    <w:r w:rsidRPr="002C718D">
      <w:rPr>
        <w:rFonts w:ascii="Georgia" w:hAnsi="Georgia"/>
        <w:i/>
        <w:sz w:val="18"/>
        <w:szCs w:val="18"/>
        <w:lang w:val="uk-UA"/>
      </w:rPr>
      <w:t>.2016</w:t>
    </w:r>
    <w:r w:rsidRPr="002C718D">
      <w:rPr>
        <w:rFonts w:ascii="Georgia" w:hAnsi="Georgia"/>
        <w:sz w:val="18"/>
        <w:szCs w:val="18"/>
        <w:lang w:val="uk-UA"/>
      </w:rPr>
      <w:t xml:space="preserve">     </w:t>
    </w:r>
    <w:r w:rsidR="00B6046A" w:rsidRPr="002C718D">
      <w:rPr>
        <w:rFonts w:ascii="Georgia" w:hAnsi="Georgia"/>
        <w:sz w:val="22"/>
        <w:lang w:val="uk-UA"/>
      </w:rPr>
      <w:fldChar w:fldCharType="begin"/>
    </w:r>
    <w:r w:rsidRPr="002C718D">
      <w:rPr>
        <w:rFonts w:ascii="Georgia" w:hAnsi="Georgia"/>
        <w:sz w:val="22"/>
        <w:lang w:val="uk-UA"/>
      </w:rPr>
      <w:instrText xml:space="preserve"> PAGE   \* MERGEFORMAT </w:instrText>
    </w:r>
    <w:r w:rsidR="00B6046A" w:rsidRPr="002C718D">
      <w:rPr>
        <w:rFonts w:ascii="Georgia" w:hAnsi="Georgia"/>
        <w:sz w:val="22"/>
        <w:lang w:val="uk-UA"/>
      </w:rPr>
      <w:fldChar w:fldCharType="separate"/>
    </w:r>
    <w:r w:rsidR="003B0B70">
      <w:rPr>
        <w:rFonts w:ascii="Georgia" w:hAnsi="Georgia"/>
        <w:noProof/>
        <w:sz w:val="22"/>
        <w:lang w:val="uk-UA"/>
      </w:rPr>
      <w:t>1</w:t>
    </w:r>
    <w:r w:rsidR="00B6046A" w:rsidRPr="002C718D">
      <w:rPr>
        <w:rFonts w:ascii="Georgia" w:hAnsi="Georgia"/>
        <w:sz w:val="22"/>
        <w:lang w:val="uk-U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2DD" w:rsidRDefault="004862DD" w:rsidP="00EA6246">
      <w:r>
        <w:separator/>
      </w:r>
    </w:p>
  </w:footnote>
  <w:footnote w:type="continuationSeparator" w:id="1">
    <w:p w:rsidR="004862DD" w:rsidRDefault="004862DD" w:rsidP="00EA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63" w:rsidRDefault="00145263" w:rsidP="00EA6246">
    <w:pPr>
      <w:pStyle w:val="ae"/>
      <w:ind w:firstLine="1416"/>
      <w:rPr>
        <w:rFonts w:ascii="Georgia" w:hAnsi="Georgia" w:cs="Times New Roman"/>
        <w:lang w:val="uk-UA"/>
      </w:rPr>
    </w:pPr>
    <w:r>
      <w:rPr>
        <w:rFonts w:ascii="Georgia" w:hAnsi="Georgia" w:cs="Times New Roman"/>
        <w:noProof/>
        <w:lang w:eastAsia="ru-RU"/>
      </w:rPr>
      <w:drawing>
        <wp:anchor distT="0" distB="0" distL="114300" distR="114300" simplePos="0" relativeHeight="251658240" behindDoc="0" locked="0" layoutInCell="1" allowOverlap="1">
          <wp:simplePos x="0" y="0"/>
          <wp:positionH relativeFrom="margin">
            <wp:posOffset>7534910</wp:posOffset>
          </wp:positionH>
          <wp:positionV relativeFrom="margin">
            <wp:posOffset>-848995</wp:posOffset>
          </wp:positionV>
          <wp:extent cx="577850" cy="596900"/>
          <wp:effectExtent l="19050" t="0" r="0" b="0"/>
          <wp:wrapSquare wrapText="bothSides"/>
          <wp:docPr id="1" name="Рисунок 1" descr="E:\Current\Agr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rrent\Agro\Logo.png"/>
                  <pic:cNvPicPr>
                    <a:picLocks noChangeAspect="1" noChangeArrowheads="1"/>
                  </pic:cNvPicPr>
                </pic:nvPicPr>
                <pic:blipFill>
                  <a:blip r:embed="rId1"/>
                  <a:srcRect/>
                  <a:stretch>
                    <a:fillRect/>
                  </a:stretch>
                </pic:blipFill>
                <pic:spPr bwMode="auto">
                  <a:xfrm>
                    <a:off x="0" y="0"/>
                    <a:ext cx="577850" cy="596900"/>
                  </a:xfrm>
                  <a:prstGeom prst="rect">
                    <a:avLst/>
                  </a:prstGeom>
                  <a:noFill/>
                  <a:ln w="9525">
                    <a:noFill/>
                    <a:miter lim="800000"/>
                    <a:headEnd/>
                    <a:tailEnd/>
                  </a:ln>
                </pic:spPr>
              </pic:pic>
            </a:graphicData>
          </a:graphic>
        </wp:anchor>
      </w:drawing>
    </w:r>
  </w:p>
  <w:p w:rsidR="00145263" w:rsidRPr="00EA6246" w:rsidRDefault="00145263" w:rsidP="00587746">
    <w:pPr>
      <w:pStyle w:val="ae"/>
      <w:tabs>
        <w:tab w:val="clear" w:pos="9355"/>
        <w:tab w:val="right" w:pos="8647"/>
      </w:tabs>
      <w:ind w:right="-739"/>
      <w:jc w:val="right"/>
      <w:rPr>
        <w:rFonts w:ascii="Georgia" w:hAnsi="Georgia" w:cs="Times New Roman"/>
        <w:sz w:val="22"/>
        <w:lang w:val="uk-UA"/>
      </w:rPr>
    </w:pPr>
    <w:r>
      <w:rPr>
        <w:rFonts w:ascii="Georgia" w:hAnsi="Georgia" w:cs="Times New Roman"/>
        <w:lang w:val="uk-UA"/>
      </w:rPr>
      <w:t xml:space="preserve">                       </w:t>
    </w:r>
    <w:r w:rsidRPr="00EA6246">
      <w:rPr>
        <w:rFonts w:ascii="Georgia" w:hAnsi="Georgia" w:cs="Times New Roman"/>
        <w:sz w:val="22"/>
        <w:lang w:val="uk-UA"/>
      </w:rPr>
      <w:t>Аграрний союз України</w:t>
    </w:r>
  </w:p>
  <w:p w:rsidR="00145263" w:rsidRPr="00EA6246" w:rsidRDefault="00B6046A" w:rsidP="00587746">
    <w:pPr>
      <w:pStyle w:val="ae"/>
      <w:tabs>
        <w:tab w:val="clear" w:pos="9355"/>
        <w:tab w:val="right" w:pos="8647"/>
      </w:tabs>
      <w:ind w:right="-739"/>
      <w:jc w:val="right"/>
      <w:rPr>
        <w:rFonts w:ascii="Georgia" w:hAnsi="Georgia" w:cs="Times New Roman"/>
      </w:rPr>
    </w:pPr>
    <w:r>
      <w:rPr>
        <w:rFonts w:ascii="Georgia" w:hAnsi="Georgia" w:cs="Times New Roman"/>
        <w:noProof/>
        <w:lang w:eastAsia="ru-RU"/>
      </w:rPr>
      <w:pict>
        <v:shapetype id="_x0000_t32" coordsize="21600,21600" o:spt="32" o:oned="t" path="m,l21600,21600e" filled="f">
          <v:path arrowok="t" fillok="f" o:connecttype="none"/>
          <o:lock v:ext="edit" shapetype="t"/>
        </v:shapetype>
        <v:shape id="_x0000_s5121" type="#_x0000_t32" style="position:absolute;left:0;text-align:left;margin-left:-55.75pt;margin-top:24.55pt;width:841.55pt;height:0;z-index:251659264" o:connectortype="straight">
          <w10:wrap type="square" anchorx="margin" anchory="margin"/>
        </v:shape>
      </w:pict>
    </w:r>
    <w:r w:rsidR="00145263">
      <w:rPr>
        <w:rFonts w:ascii="Georgia" w:hAnsi="Georgia" w:cs="Times New Roman"/>
        <w:lang w:val="uk-UA"/>
      </w:rPr>
      <w:t xml:space="preserve">                       </w:t>
    </w:r>
    <w:r w:rsidR="00145263" w:rsidRPr="00EA6246">
      <w:rPr>
        <w:rFonts w:ascii="Georgia" w:hAnsi="Georgia" w:cs="Times New Roman"/>
        <w:lang w:val="uk-UA"/>
      </w:rPr>
      <w:t>Аналітичний центр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F11"/>
    <w:multiLevelType w:val="multilevel"/>
    <w:tmpl w:val="303251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4BA5C15"/>
    <w:multiLevelType w:val="hybridMultilevel"/>
    <w:tmpl w:val="09D6D7D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055B69"/>
    <w:multiLevelType w:val="hybridMultilevel"/>
    <w:tmpl w:val="5AC23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870ACE"/>
    <w:multiLevelType w:val="hybridMultilevel"/>
    <w:tmpl w:val="620E2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C3B2914"/>
    <w:multiLevelType w:val="hybridMultilevel"/>
    <w:tmpl w:val="426A4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396FE1"/>
    <w:multiLevelType w:val="hybridMultilevel"/>
    <w:tmpl w:val="B57027F6"/>
    <w:lvl w:ilvl="0" w:tplc="416420E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F62293"/>
    <w:multiLevelType w:val="hybridMultilevel"/>
    <w:tmpl w:val="4E50C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32CE8"/>
    <w:multiLevelType w:val="hybridMultilevel"/>
    <w:tmpl w:val="1A36F1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E86694"/>
    <w:multiLevelType w:val="hybridMultilevel"/>
    <w:tmpl w:val="FA729EA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C5D0DD6"/>
    <w:multiLevelType w:val="hybridMultilevel"/>
    <w:tmpl w:val="E8464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D9A6CFC"/>
    <w:multiLevelType w:val="hybridMultilevel"/>
    <w:tmpl w:val="AFEA2C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CBE5B91"/>
    <w:multiLevelType w:val="hybridMultilevel"/>
    <w:tmpl w:val="BFB07A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933536A"/>
    <w:multiLevelType w:val="hybridMultilevel"/>
    <w:tmpl w:val="A3C89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EF14A2"/>
    <w:multiLevelType w:val="hybridMultilevel"/>
    <w:tmpl w:val="A4D62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0B5279"/>
    <w:multiLevelType w:val="hybridMultilevel"/>
    <w:tmpl w:val="5880B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8677E92"/>
    <w:multiLevelType w:val="hybridMultilevel"/>
    <w:tmpl w:val="B0F057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19C3CCC"/>
    <w:multiLevelType w:val="hybridMultilevel"/>
    <w:tmpl w:val="317A6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57845B7"/>
    <w:multiLevelType w:val="hybridMultilevel"/>
    <w:tmpl w:val="9CA04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352C38"/>
    <w:multiLevelType w:val="hybridMultilevel"/>
    <w:tmpl w:val="E70A2F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D9223B2"/>
    <w:multiLevelType w:val="hybridMultilevel"/>
    <w:tmpl w:val="55ECC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7"/>
  </w:num>
  <w:num w:numId="4">
    <w:abstractNumId w:val="15"/>
  </w:num>
  <w:num w:numId="5">
    <w:abstractNumId w:val="10"/>
  </w:num>
  <w:num w:numId="6">
    <w:abstractNumId w:val="0"/>
  </w:num>
  <w:num w:numId="7">
    <w:abstractNumId w:val="2"/>
  </w:num>
  <w:num w:numId="8">
    <w:abstractNumId w:val="3"/>
  </w:num>
  <w:num w:numId="9">
    <w:abstractNumId w:val="9"/>
  </w:num>
  <w:num w:numId="10">
    <w:abstractNumId w:val="4"/>
  </w:num>
  <w:num w:numId="11">
    <w:abstractNumId w:val="14"/>
  </w:num>
  <w:num w:numId="12">
    <w:abstractNumId w:val="16"/>
  </w:num>
  <w:num w:numId="13">
    <w:abstractNumId w:val="1"/>
  </w:num>
  <w:num w:numId="14">
    <w:abstractNumId w:val="19"/>
  </w:num>
  <w:num w:numId="15">
    <w:abstractNumId w:val="18"/>
  </w:num>
  <w:num w:numId="16">
    <w:abstractNumId w:val="5"/>
  </w:num>
  <w:num w:numId="17">
    <w:abstractNumId w:val="11"/>
  </w:num>
  <w:num w:numId="18">
    <w:abstractNumId w:val="13"/>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00"/>
  <w:displayHorizontalDrawingGridEvery w:val="2"/>
  <w:characterSpacingControl w:val="doNotCompress"/>
  <w:hdrShapeDefaults>
    <o:shapedefaults v:ext="edit" spidmax="34818"/>
    <o:shapelayout v:ext="edit">
      <o:idmap v:ext="edit" data="5"/>
      <o:rules v:ext="edit">
        <o:r id="V:Rule2" type="connector" idref="#_x0000_s5121"/>
      </o:rules>
    </o:shapelayout>
  </w:hdrShapeDefaults>
  <w:footnotePr>
    <w:footnote w:id="0"/>
    <w:footnote w:id="1"/>
  </w:footnotePr>
  <w:endnotePr>
    <w:endnote w:id="0"/>
    <w:endnote w:id="1"/>
  </w:endnotePr>
  <w:compat/>
  <w:rsids>
    <w:rsidRoot w:val="00CC4C88"/>
    <w:rsid w:val="00000270"/>
    <w:rsid w:val="000341E6"/>
    <w:rsid w:val="000361A5"/>
    <w:rsid w:val="00041C9D"/>
    <w:rsid w:val="000515B3"/>
    <w:rsid w:val="00056F53"/>
    <w:rsid w:val="000609DD"/>
    <w:rsid w:val="000658C3"/>
    <w:rsid w:val="00070C79"/>
    <w:rsid w:val="000718DE"/>
    <w:rsid w:val="000836E1"/>
    <w:rsid w:val="000B0891"/>
    <w:rsid w:val="000C2B2F"/>
    <w:rsid w:val="000E6DE2"/>
    <w:rsid w:val="00101B7A"/>
    <w:rsid w:val="00115EA3"/>
    <w:rsid w:val="00116D4B"/>
    <w:rsid w:val="001364C1"/>
    <w:rsid w:val="00136C61"/>
    <w:rsid w:val="00145263"/>
    <w:rsid w:val="001716D4"/>
    <w:rsid w:val="00175454"/>
    <w:rsid w:val="0017688A"/>
    <w:rsid w:val="0019402F"/>
    <w:rsid w:val="001B6D4A"/>
    <w:rsid w:val="001C1B87"/>
    <w:rsid w:val="001C69AB"/>
    <w:rsid w:val="001D4D5A"/>
    <w:rsid w:val="001F22C6"/>
    <w:rsid w:val="002069B7"/>
    <w:rsid w:val="0021271C"/>
    <w:rsid w:val="00216D2D"/>
    <w:rsid w:val="00216E39"/>
    <w:rsid w:val="0023025D"/>
    <w:rsid w:val="00232C32"/>
    <w:rsid w:val="00235E1D"/>
    <w:rsid w:val="00240053"/>
    <w:rsid w:val="00251933"/>
    <w:rsid w:val="00264650"/>
    <w:rsid w:val="00271343"/>
    <w:rsid w:val="002822BD"/>
    <w:rsid w:val="0029674D"/>
    <w:rsid w:val="00296E2D"/>
    <w:rsid w:val="00297571"/>
    <w:rsid w:val="002C718D"/>
    <w:rsid w:val="00300417"/>
    <w:rsid w:val="00312BEA"/>
    <w:rsid w:val="0031507D"/>
    <w:rsid w:val="00317C09"/>
    <w:rsid w:val="00330545"/>
    <w:rsid w:val="003309E2"/>
    <w:rsid w:val="00334C57"/>
    <w:rsid w:val="00346598"/>
    <w:rsid w:val="003518DB"/>
    <w:rsid w:val="00351CEE"/>
    <w:rsid w:val="00351EFA"/>
    <w:rsid w:val="00354C84"/>
    <w:rsid w:val="00360080"/>
    <w:rsid w:val="00375639"/>
    <w:rsid w:val="00380173"/>
    <w:rsid w:val="00381D14"/>
    <w:rsid w:val="0038578F"/>
    <w:rsid w:val="00387510"/>
    <w:rsid w:val="00387B3A"/>
    <w:rsid w:val="003B0B70"/>
    <w:rsid w:val="003B48BF"/>
    <w:rsid w:val="003B4D69"/>
    <w:rsid w:val="003C271C"/>
    <w:rsid w:val="003D1521"/>
    <w:rsid w:val="003D2C05"/>
    <w:rsid w:val="003D4F6E"/>
    <w:rsid w:val="003D6FFB"/>
    <w:rsid w:val="003F1284"/>
    <w:rsid w:val="004033CA"/>
    <w:rsid w:val="00404E6F"/>
    <w:rsid w:val="00405D86"/>
    <w:rsid w:val="00475F90"/>
    <w:rsid w:val="00477550"/>
    <w:rsid w:val="004862DD"/>
    <w:rsid w:val="004E5C67"/>
    <w:rsid w:val="004F072C"/>
    <w:rsid w:val="00512658"/>
    <w:rsid w:val="00521ACE"/>
    <w:rsid w:val="0054105D"/>
    <w:rsid w:val="00543916"/>
    <w:rsid w:val="005662AE"/>
    <w:rsid w:val="00567237"/>
    <w:rsid w:val="005760F9"/>
    <w:rsid w:val="00581D4D"/>
    <w:rsid w:val="00582110"/>
    <w:rsid w:val="00583E9A"/>
    <w:rsid w:val="00584DF7"/>
    <w:rsid w:val="00587746"/>
    <w:rsid w:val="005A38BB"/>
    <w:rsid w:val="005A458A"/>
    <w:rsid w:val="005C1FC6"/>
    <w:rsid w:val="005C446F"/>
    <w:rsid w:val="005D66EA"/>
    <w:rsid w:val="005F36CD"/>
    <w:rsid w:val="00604AF3"/>
    <w:rsid w:val="00633DE3"/>
    <w:rsid w:val="0065298E"/>
    <w:rsid w:val="00655245"/>
    <w:rsid w:val="0067443F"/>
    <w:rsid w:val="00677774"/>
    <w:rsid w:val="00690E6D"/>
    <w:rsid w:val="006B3479"/>
    <w:rsid w:val="006C7177"/>
    <w:rsid w:val="006D2587"/>
    <w:rsid w:val="006D3F52"/>
    <w:rsid w:val="006D4BB1"/>
    <w:rsid w:val="006D7615"/>
    <w:rsid w:val="006D7BD1"/>
    <w:rsid w:val="006E6AD7"/>
    <w:rsid w:val="006F2209"/>
    <w:rsid w:val="006F50F5"/>
    <w:rsid w:val="006F5505"/>
    <w:rsid w:val="00704120"/>
    <w:rsid w:val="00707333"/>
    <w:rsid w:val="00710BB1"/>
    <w:rsid w:val="007446D8"/>
    <w:rsid w:val="00761D70"/>
    <w:rsid w:val="00766970"/>
    <w:rsid w:val="007712C0"/>
    <w:rsid w:val="00781A74"/>
    <w:rsid w:val="007A0A33"/>
    <w:rsid w:val="007A188D"/>
    <w:rsid w:val="007A67F7"/>
    <w:rsid w:val="007C09AA"/>
    <w:rsid w:val="007C272E"/>
    <w:rsid w:val="007D6C96"/>
    <w:rsid w:val="007E3131"/>
    <w:rsid w:val="007E43AE"/>
    <w:rsid w:val="007E43CC"/>
    <w:rsid w:val="007E630D"/>
    <w:rsid w:val="00805A5D"/>
    <w:rsid w:val="0081548A"/>
    <w:rsid w:val="00827E0D"/>
    <w:rsid w:val="00833964"/>
    <w:rsid w:val="00834840"/>
    <w:rsid w:val="00836B66"/>
    <w:rsid w:val="0084580B"/>
    <w:rsid w:val="00855972"/>
    <w:rsid w:val="008618EB"/>
    <w:rsid w:val="00864655"/>
    <w:rsid w:val="008855FC"/>
    <w:rsid w:val="008866CA"/>
    <w:rsid w:val="008B78E4"/>
    <w:rsid w:val="008D36E1"/>
    <w:rsid w:val="008E631C"/>
    <w:rsid w:val="008E658F"/>
    <w:rsid w:val="008F15DB"/>
    <w:rsid w:val="008F3718"/>
    <w:rsid w:val="00922A6A"/>
    <w:rsid w:val="00950196"/>
    <w:rsid w:val="00953DB1"/>
    <w:rsid w:val="00963449"/>
    <w:rsid w:val="00974558"/>
    <w:rsid w:val="0097579B"/>
    <w:rsid w:val="0099566B"/>
    <w:rsid w:val="009976B4"/>
    <w:rsid w:val="009C0DC8"/>
    <w:rsid w:val="009C1186"/>
    <w:rsid w:val="009D636D"/>
    <w:rsid w:val="009F527C"/>
    <w:rsid w:val="00A00579"/>
    <w:rsid w:val="00A06C90"/>
    <w:rsid w:val="00A12B8C"/>
    <w:rsid w:val="00A15BFA"/>
    <w:rsid w:val="00A1738A"/>
    <w:rsid w:val="00A20CC4"/>
    <w:rsid w:val="00A22F17"/>
    <w:rsid w:val="00A2600C"/>
    <w:rsid w:val="00A30C9A"/>
    <w:rsid w:val="00A34BF8"/>
    <w:rsid w:val="00A3666F"/>
    <w:rsid w:val="00A42D22"/>
    <w:rsid w:val="00A74F06"/>
    <w:rsid w:val="00A96843"/>
    <w:rsid w:val="00AB0F5C"/>
    <w:rsid w:val="00AC4D72"/>
    <w:rsid w:val="00AE5989"/>
    <w:rsid w:val="00AF769D"/>
    <w:rsid w:val="00B0644F"/>
    <w:rsid w:val="00B06D3C"/>
    <w:rsid w:val="00B420D4"/>
    <w:rsid w:val="00B42590"/>
    <w:rsid w:val="00B531DF"/>
    <w:rsid w:val="00B53DCB"/>
    <w:rsid w:val="00B6046A"/>
    <w:rsid w:val="00B61A48"/>
    <w:rsid w:val="00B72136"/>
    <w:rsid w:val="00B81D1A"/>
    <w:rsid w:val="00B849DC"/>
    <w:rsid w:val="00B84D94"/>
    <w:rsid w:val="00B858CD"/>
    <w:rsid w:val="00BA6334"/>
    <w:rsid w:val="00BE4AF5"/>
    <w:rsid w:val="00BF2ED3"/>
    <w:rsid w:val="00BF5932"/>
    <w:rsid w:val="00C0004A"/>
    <w:rsid w:val="00C0455D"/>
    <w:rsid w:val="00C06C6A"/>
    <w:rsid w:val="00C07CAC"/>
    <w:rsid w:val="00C52446"/>
    <w:rsid w:val="00C542BB"/>
    <w:rsid w:val="00C57442"/>
    <w:rsid w:val="00C809C3"/>
    <w:rsid w:val="00C8173E"/>
    <w:rsid w:val="00C81F48"/>
    <w:rsid w:val="00C92FE1"/>
    <w:rsid w:val="00CA5D27"/>
    <w:rsid w:val="00CC0AF8"/>
    <w:rsid w:val="00CC4C88"/>
    <w:rsid w:val="00CE4D49"/>
    <w:rsid w:val="00CF354C"/>
    <w:rsid w:val="00D00023"/>
    <w:rsid w:val="00D133F6"/>
    <w:rsid w:val="00D25AA7"/>
    <w:rsid w:val="00D30FBD"/>
    <w:rsid w:val="00D55EE8"/>
    <w:rsid w:val="00D71B8F"/>
    <w:rsid w:val="00D71F27"/>
    <w:rsid w:val="00D7207D"/>
    <w:rsid w:val="00D95FAD"/>
    <w:rsid w:val="00DA7F40"/>
    <w:rsid w:val="00DB14B2"/>
    <w:rsid w:val="00DC1323"/>
    <w:rsid w:val="00DE1499"/>
    <w:rsid w:val="00E21D15"/>
    <w:rsid w:val="00E27A0F"/>
    <w:rsid w:val="00E313DB"/>
    <w:rsid w:val="00E320AE"/>
    <w:rsid w:val="00E61D15"/>
    <w:rsid w:val="00E749D6"/>
    <w:rsid w:val="00E80DC0"/>
    <w:rsid w:val="00E90D2B"/>
    <w:rsid w:val="00E95268"/>
    <w:rsid w:val="00EA03A9"/>
    <w:rsid w:val="00EA1710"/>
    <w:rsid w:val="00EA50D9"/>
    <w:rsid w:val="00EA6246"/>
    <w:rsid w:val="00EB612E"/>
    <w:rsid w:val="00EB7720"/>
    <w:rsid w:val="00ED4D59"/>
    <w:rsid w:val="00ED685A"/>
    <w:rsid w:val="00F178BF"/>
    <w:rsid w:val="00F20C96"/>
    <w:rsid w:val="00F21AA7"/>
    <w:rsid w:val="00F245AA"/>
    <w:rsid w:val="00F30527"/>
    <w:rsid w:val="00F3306C"/>
    <w:rsid w:val="00F368F1"/>
    <w:rsid w:val="00F402A2"/>
    <w:rsid w:val="00F76E8F"/>
    <w:rsid w:val="00F8110A"/>
    <w:rsid w:val="00F977A8"/>
    <w:rsid w:val="00FA5E51"/>
    <w:rsid w:val="00FB12CD"/>
    <w:rsid w:val="00FB2CF0"/>
    <w:rsid w:val="00FB425C"/>
    <w:rsid w:val="00FC6F8F"/>
    <w:rsid w:val="00FD5164"/>
    <w:rsid w:val="00FE0867"/>
    <w:rsid w:val="00FE4FCD"/>
    <w:rsid w:val="00FE63D2"/>
    <w:rsid w:val="00FE6593"/>
    <w:rsid w:val="00FE6A68"/>
    <w:rsid w:val="00FF1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88"/>
    <w:pPr>
      <w:spacing w:after="0" w:line="240" w:lineRule="auto"/>
    </w:pPr>
    <w:rPr>
      <w:rFonts w:ascii="Arial" w:hAnsi="Arial"/>
      <w:sz w:val="20"/>
    </w:rPr>
  </w:style>
  <w:style w:type="paragraph" w:styleId="1">
    <w:name w:val="heading 1"/>
    <w:basedOn w:val="a"/>
    <w:next w:val="a"/>
    <w:link w:val="10"/>
    <w:uiPriority w:val="9"/>
    <w:qFormat/>
    <w:rsid w:val="00584D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4D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4D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4DF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84DF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84D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D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84D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84D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84DF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84DF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84DF7"/>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584D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84DF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584DF7"/>
    <w:rPr>
      <w:b/>
      <w:bCs/>
    </w:rPr>
  </w:style>
  <w:style w:type="character" w:styleId="a6">
    <w:name w:val="Emphasis"/>
    <w:basedOn w:val="a0"/>
    <w:uiPriority w:val="20"/>
    <w:qFormat/>
    <w:rsid w:val="00584DF7"/>
    <w:rPr>
      <w:i/>
      <w:iCs/>
    </w:rPr>
  </w:style>
  <w:style w:type="paragraph" w:styleId="a7">
    <w:name w:val="List Paragraph"/>
    <w:basedOn w:val="a"/>
    <w:uiPriority w:val="34"/>
    <w:qFormat/>
    <w:rsid w:val="00584DF7"/>
    <w:pPr>
      <w:ind w:left="720"/>
      <w:contextualSpacing/>
    </w:pPr>
  </w:style>
  <w:style w:type="paragraph" w:styleId="21">
    <w:name w:val="Quote"/>
    <w:basedOn w:val="a"/>
    <w:next w:val="a"/>
    <w:link w:val="22"/>
    <w:uiPriority w:val="29"/>
    <w:qFormat/>
    <w:rsid w:val="00584DF7"/>
    <w:rPr>
      <w:i/>
      <w:iCs/>
      <w:color w:val="000000" w:themeColor="text1"/>
    </w:rPr>
  </w:style>
  <w:style w:type="character" w:customStyle="1" w:styleId="22">
    <w:name w:val="Цитата 2 Знак"/>
    <w:basedOn w:val="a0"/>
    <w:link w:val="21"/>
    <w:uiPriority w:val="29"/>
    <w:rsid w:val="00584DF7"/>
    <w:rPr>
      <w:i/>
      <w:iCs/>
      <w:color w:val="000000" w:themeColor="text1"/>
    </w:rPr>
  </w:style>
  <w:style w:type="paragraph" w:styleId="a8">
    <w:name w:val="Intense Quote"/>
    <w:basedOn w:val="a"/>
    <w:next w:val="a"/>
    <w:link w:val="a9"/>
    <w:uiPriority w:val="30"/>
    <w:qFormat/>
    <w:rsid w:val="00584DF7"/>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584DF7"/>
    <w:rPr>
      <w:b/>
      <w:bCs/>
      <w:i/>
      <w:iCs/>
      <w:color w:val="4F81BD" w:themeColor="accent1"/>
    </w:rPr>
  </w:style>
  <w:style w:type="character" w:styleId="aa">
    <w:name w:val="Subtle Reference"/>
    <w:basedOn w:val="a0"/>
    <w:uiPriority w:val="31"/>
    <w:qFormat/>
    <w:rsid w:val="00584DF7"/>
    <w:rPr>
      <w:smallCaps/>
      <w:color w:val="C0504D" w:themeColor="accent2"/>
      <w:u w:val="single"/>
    </w:rPr>
  </w:style>
  <w:style w:type="character" w:styleId="ab">
    <w:name w:val="Intense Reference"/>
    <w:basedOn w:val="a0"/>
    <w:uiPriority w:val="32"/>
    <w:qFormat/>
    <w:rsid w:val="00584DF7"/>
    <w:rPr>
      <w:b/>
      <w:bCs/>
      <w:smallCaps/>
      <w:color w:val="C0504D" w:themeColor="accent2"/>
      <w:spacing w:val="5"/>
      <w:u w:val="single"/>
    </w:rPr>
  </w:style>
  <w:style w:type="character" w:styleId="ac">
    <w:name w:val="Book Title"/>
    <w:basedOn w:val="a0"/>
    <w:uiPriority w:val="33"/>
    <w:qFormat/>
    <w:rsid w:val="00584DF7"/>
    <w:rPr>
      <w:b/>
      <w:bCs/>
      <w:smallCaps/>
      <w:spacing w:val="5"/>
    </w:rPr>
  </w:style>
  <w:style w:type="table" w:styleId="ad">
    <w:name w:val="Table Grid"/>
    <w:basedOn w:val="a1"/>
    <w:uiPriority w:val="59"/>
    <w:rsid w:val="00707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EA6246"/>
    <w:pPr>
      <w:tabs>
        <w:tab w:val="center" w:pos="4677"/>
        <w:tab w:val="right" w:pos="9355"/>
      </w:tabs>
    </w:pPr>
  </w:style>
  <w:style w:type="character" w:customStyle="1" w:styleId="af">
    <w:name w:val="Верхний колонтитул Знак"/>
    <w:basedOn w:val="a0"/>
    <w:link w:val="ae"/>
    <w:uiPriority w:val="99"/>
    <w:semiHidden/>
    <w:rsid w:val="00EA6246"/>
    <w:rPr>
      <w:rFonts w:ascii="Arial" w:hAnsi="Arial"/>
      <w:sz w:val="20"/>
    </w:rPr>
  </w:style>
  <w:style w:type="paragraph" w:styleId="af0">
    <w:name w:val="footer"/>
    <w:basedOn w:val="a"/>
    <w:link w:val="af1"/>
    <w:uiPriority w:val="99"/>
    <w:unhideWhenUsed/>
    <w:rsid w:val="00EA6246"/>
    <w:pPr>
      <w:tabs>
        <w:tab w:val="center" w:pos="4677"/>
        <w:tab w:val="right" w:pos="9355"/>
      </w:tabs>
    </w:pPr>
  </w:style>
  <w:style w:type="character" w:customStyle="1" w:styleId="af1">
    <w:name w:val="Нижний колонтитул Знак"/>
    <w:basedOn w:val="a0"/>
    <w:link w:val="af0"/>
    <w:uiPriority w:val="99"/>
    <w:rsid w:val="00EA6246"/>
    <w:rPr>
      <w:rFonts w:ascii="Arial" w:hAnsi="Arial"/>
      <w:sz w:val="20"/>
    </w:rPr>
  </w:style>
  <w:style w:type="paragraph" w:styleId="af2">
    <w:name w:val="Balloon Text"/>
    <w:basedOn w:val="a"/>
    <w:link w:val="af3"/>
    <w:uiPriority w:val="99"/>
    <w:semiHidden/>
    <w:unhideWhenUsed/>
    <w:rsid w:val="00EA6246"/>
    <w:rPr>
      <w:rFonts w:ascii="Tahoma" w:hAnsi="Tahoma" w:cs="Tahoma"/>
      <w:sz w:val="16"/>
      <w:szCs w:val="16"/>
    </w:rPr>
  </w:style>
  <w:style w:type="character" w:customStyle="1" w:styleId="af3">
    <w:name w:val="Текст выноски Знак"/>
    <w:basedOn w:val="a0"/>
    <w:link w:val="af2"/>
    <w:uiPriority w:val="99"/>
    <w:semiHidden/>
    <w:rsid w:val="00EA6246"/>
    <w:rPr>
      <w:rFonts w:ascii="Tahoma" w:hAnsi="Tahoma" w:cs="Tahoma"/>
      <w:sz w:val="16"/>
      <w:szCs w:val="16"/>
    </w:rPr>
  </w:style>
  <w:style w:type="character" w:customStyle="1" w:styleId="apple-converted-space">
    <w:name w:val="apple-converted-space"/>
    <w:basedOn w:val="a0"/>
    <w:rsid w:val="00C0455D"/>
  </w:style>
</w:styles>
</file>

<file path=word/webSettings.xml><?xml version="1.0" encoding="utf-8"?>
<w:webSettings xmlns:r="http://schemas.openxmlformats.org/officeDocument/2006/relationships" xmlns:w="http://schemas.openxmlformats.org/wordprocessingml/2006/main">
  <w:divs>
    <w:div w:id="1999192154">
      <w:bodyDiv w:val="1"/>
      <w:marLeft w:val="0"/>
      <w:marRight w:val="0"/>
      <w:marTop w:val="0"/>
      <w:marBottom w:val="0"/>
      <w:divBdr>
        <w:top w:val="none" w:sz="0" w:space="0" w:color="auto"/>
        <w:left w:val="none" w:sz="0" w:space="0" w:color="auto"/>
        <w:bottom w:val="none" w:sz="0" w:space="0" w:color="auto"/>
        <w:right w:val="none" w:sz="0" w:space="0" w:color="auto"/>
      </w:divBdr>
      <w:divsChild>
        <w:div w:id="1269236452">
          <w:marLeft w:val="0"/>
          <w:marRight w:val="0"/>
          <w:marTop w:val="0"/>
          <w:marBottom w:val="0"/>
          <w:divBdr>
            <w:top w:val="none" w:sz="0" w:space="0" w:color="auto"/>
            <w:left w:val="none" w:sz="0" w:space="0" w:color="auto"/>
            <w:bottom w:val="none" w:sz="0" w:space="0" w:color="auto"/>
            <w:right w:val="none" w:sz="0" w:space="0" w:color="auto"/>
          </w:divBdr>
        </w:div>
        <w:div w:id="2021004376">
          <w:marLeft w:val="0"/>
          <w:marRight w:val="0"/>
          <w:marTop w:val="0"/>
          <w:marBottom w:val="0"/>
          <w:divBdr>
            <w:top w:val="none" w:sz="0" w:space="0" w:color="auto"/>
            <w:left w:val="none" w:sz="0" w:space="0" w:color="auto"/>
            <w:bottom w:val="none" w:sz="0" w:space="0" w:color="auto"/>
            <w:right w:val="none" w:sz="0" w:space="0" w:color="auto"/>
          </w:divBdr>
        </w:div>
        <w:div w:id="2083603445">
          <w:marLeft w:val="0"/>
          <w:marRight w:val="0"/>
          <w:marTop w:val="0"/>
          <w:marBottom w:val="0"/>
          <w:divBdr>
            <w:top w:val="none" w:sz="0" w:space="0" w:color="auto"/>
            <w:left w:val="none" w:sz="0" w:space="0" w:color="auto"/>
            <w:bottom w:val="none" w:sz="0" w:space="0" w:color="auto"/>
            <w:right w:val="none" w:sz="0" w:space="0" w:color="auto"/>
          </w:divBdr>
        </w:div>
        <w:div w:id="399914248">
          <w:marLeft w:val="0"/>
          <w:marRight w:val="0"/>
          <w:marTop w:val="0"/>
          <w:marBottom w:val="0"/>
          <w:divBdr>
            <w:top w:val="none" w:sz="0" w:space="0" w:color="auto"/>
            <w:left w:val="none" w:sz="0" w:space="0" w:color="auto"/>
            <w:bottom w:val="none" w:sz="0" w:space="0" w:color="auto"/>
            <w:right w:val="none" w:sz="0" w:space="0" w:color="auto"/>
          </w:divBdr>
        </w:div>
        <w:div w:id="421413694">
          <w:marLeft w:val="0"/>
          <w:marRight w:val="0"/>
          <w:marTop w:val="0"/>
          <w:marBottom w:val="0"/>
          <w:divBdr>
            <w:top w:val="none" w:sz="0" w:space="0" w:color="auto"/>
            <w:left w:val="none" w:sz="0" w:space="0" w:color="auto"/>
            <w:bottom w:val="none" w:sz="0" w:space="0" w:color="auto"/>
            <w:right w:val="none" w:sz="0" w:space="0" w:color="auto"/>
          </w:divBdr>
        </w:div>
        <w:div w:id="782069238">
          <w:marLeft w:val="0"/>
          <w:marRight w:val="0"/>
          <w:marTop w:val="0"/>
          <w:marBottom w:val="0"/>
          <w:divBdr>
            <w:top w:val="none" w:sz="0" w:space="0" w:color="auto"/>
            <w:left w:val="none" w:sz="0" w:space="0" w:color="auto"/>
            <w:bottom w:val="none" w:sz="0" w:space="0" w:color="auto"/>
            <w:right w:val="none" w:sz="0" w:space="0" w:color="auto"/>
          </w:divBdr>
        </w:div>
        <w:div w:id="508376223">
          <w:marLeft w:val="0"/>
          <w:marRight w:val="0"/>
          <w:marTop w:val="0"/>
          <w:marBottom w:val="0"/>
          <w:divBdr>
            <w:top w:val="none" w:sz="0" w:space="0" w:color="auto"/>
            <w:left w:val="none" w:sz="0" w:space="0" w:color="auto"/>
            <w:bottom w:val="none" w:sz="0" w:space="0" w:color="auto"/>
            <w:right w:val="none" w:sz="0" w:space="0" w:color="auto"/>
          </w:divBdr>
        </w:div>
        <w:div w:id="1322583293">
          <w:marLeft w:val="0"/>
          <w:marRight w:val="0"/>
          <w:marTop w:val="0"/>
          <w:marBottom w:val="0"/>
          <w:divBdr>
            <w:top w:val="none" w:sz="0" w:space="0" w:color="auto"/>
            <w:left w:val="none" w:sz="0" w:space="0" w:color="auto"/>
            <w:bottom w:val="none" w:sz="0" w:space="0" w:color="auto"/>
            <w:right w:val="none" w:sz="0" w:space="0" w:color="auto"/>
          </w:divBdr>
          <w:divsChild>
            <w:div w:id="343939825">
              <w:marLeft w:val="0"/>
              <w:marRight w:val="0"/>
              <w:marTop w:val="0"/>
              <w:marBottom w:val="0"/>
              <w:divBdr>
                <w:top w:val="none" w:sz="0" w:space="0" w:color="auto"/>
                <w:left w:val="none" w:sz="0" w:space="0" w:color="auto"/>
                <w:bottom w:val="none" w:sz="0" w:space="0" w:color="auto"/>
                <w:right w:val="none" w:sz="0" w:space="0" w:color="auto"/>
              </w:divBdr>
              <w:divsChild>
                <w:div w:id="1491678686">
                  <w:marLeft w:val="0"/>
                  <w:marRight w:val="0"/>
                  <w:marTop w:val="0"/>
                  <w:marBottom w:val="0"/>
                  <w:divBdr>
                    <w:top w:val="none" w:sz="0" w:space="0" w:color="auto"/>
                    <w:left w:val="none" w:sz="0" w:space="0" w:color="auto"/>
                    <w:bottom w:val="none" w:sz="0" w:space="0" w:color="auto"/>
                    <w:right w:val="none" w:sz="0" w:space="0" w:color="auto"/>
                  </w:divBdr>
                </w:div>
              </w:divsChild>
            </w:div>
            <w:div w:id="662468978">
              <w:marLeft w:val="0"/>
              <w:marRight w:val="0"/>
              <w:marTop w:val="0"/>
              <w:marBottom w:val="0"/>
              <w:divBdr>
                <w:top w:val="none" w:sz="0" w:space="0" w:color="auto"/>
                <w:left w:val="none" w:sz="0" w:space="0" w:color="auto"/>
                <w:bottom w:val="none" w:sz="0" w:space="0" w:color="auto"/>
                <w:right w:val="none" w:sz="0" w:space="0" w:color="auto"/>
              </w:divBdr>
            </w:div>
            <w:div w:id="607126400">
              <w:marLeft w:val="0"/>
              <w:marRight w:val="0"/>
              <w:marTop w:val="0"/>
              <w:marBottom w:val="0"/>
              <w:divBdr>
                <w:top w:val="none" w:sz="0" w:space="0" w:color="auto"/>
                <w:left w:val="none" w:sz="0" w:space="0" w:color="auto"/>
                <w:bottom w:val="none" w:sz="0" w:space="0" w:color="auto"/>
                <w:right w:val="none" w:sz="0" w:space="0" w:color="auto"/>
              </w:divBdr>
            </w:div>
            <w:div w:id="1339042387">
              <w:marLeft w:val="0"/>
              <w:marRight w:val="0"/>
              <w:marTop w:val="0"/>
              <w:marBottom w:val="0"/>
              <w:divBdr>
                <w:top w:val="none" w:sz="0" w:space="0" w:color="auto"/>
                <w:left w:val="none" w:sz="0" w:space="0" w:color="auto"/>
                <w:bottom w:val="none" w:sz="0" w:space="0" w:color="auto"/>
                <w:right w:val="none" w:sz="0" w:space="0" w:color="auto"/>
              </w:divBdr>
            </w:div>
            <w:div w:id="1254169464">
              <w:marLeft w:val="0"/>
              <w:marRight w:val="0"/>
              <w:marTop w:val="0"/>
              <w:marBottom w:val="0"/>
              <w:divBdr>
                <w:top w:val="none" w:sz="0" w:space="0" w:color="auto"/>
                <w:left w:val="none" w:sz="0" w:space="0" w:color="auto"/>
                <w:bottom w:val="none" w:sz="0" w:space="0" w:color="auto"/>
                <w:right w:val="none" w:sz="0" w:space="0" w:color="auto"/>
              </w:divBdr>
            </w:div>
            <w:div w:id="1457408687">
              <w:marLeft w:val="0"/>
              <w:marRight w:val="0"/>
              <w:marTop w:val="0"/>
              <w:marBottom w:val="0"/>
              <w:divBdr>
                <w:top w:val="none" w:sz="0" w:space="0" w:color="auto"/>
                <w:left w:val="none" w:sz="0" w:space="0" w:color="auto"/>
                <w:bottom w:val="none" w:sz="0" w:space="0" w:color="auto"/>
                <w:right w:val="none" w:sz="0" w:space="0" w:color="auto"/>
              </w:divBdr>
              <w:divsChild>
                <w:div w:id="1656177452">
                  <w:marLeft w:val="0"/>
                  <w:marRight w:val="0"/>
                  <w:marTop w:val="0"/>
                  <w:marBottom w:val="0"/>
                  <w:divBdr>
                    <w:top w:val="none" w:sz="0" w:space="0" w:color="auto"/>
                    <w:left w:val="none" w:sz="0" w:space="0" w:color="auto"/>
                    <w:bottom w:val="none" w:sz="0" w:space="0" w:color="auto"/>
                    <w:right w:val="none" w:sz="0" w:space="0" w:color="auto"/>
                  </w:divBdr>
                </w:div>
                <w:div w:id="2136168285">
                  <w:marLeft w:val="0"/>
                  <w:marRight w:val="0"/>
                  <w:marTop w:val="0"/>
                  <w:marBottom w:val="0"/>
                  <w:divBdr>
                    <w:top w:val="none" w:sz="0" w:space="0" w:color="auto"/>
                    <w:left w:val="none" w:sz="0" w:space="0" w:color="auto"/>
                    <w:bottom w:val="none" w:sz="0" w:space="0" w:color="auto"/>
                    <w:right w:val="none" w:sz="0" w:space="0" w:color="auto"/>
                  </w:divBdr>
                </w:div>
                <w:div w:id="1413703579">
                  <w:marLeft w:val="0"/>
                  <w:marRight w:val="0"/>
                  <w:marTop w:val="0"/>
                  <w:marBottom w:val="0"/>
                  <w:divBdr>
                    <w:top w:val="none" w:sz="0" w:space="0" w:color="auto"/>
                    <w:left w:val="none" w:sz="0" w:space="0" w:color="auto"/>
                    <w:bottom w:val="none" w:sz="0" w:space="0" w:color="auto"/>
                    <w:right w:val="none" w:sz="0" w:space="0" w:color="auto"/>
                  </w:divBdr>
                  <w:divsChild>
                    <w:div w:id="837580285">
                      <w:marLeft w:val="0"/>
                      <w:marRight w:val="0"/>
                      <w:marTop w:val="0"/>
                      <w:marBottom w:val="0"/>
                      <w:divBdr>
                        <w:top w:val="none" w:sz="0" w:space="0" w:color="auto"/>
                        <w:left w:val="none" w:sz="0" w:space="0" w:color="auto"/>
                        <w:bottom w:val="none" w:sz="0" w:space="0" w:color="auto"/>
                        <w:right w:val="none" w:sz="0" w:space="0" w:color="auto"/>
                      </w:divBdr>
                    </w:div>
                    <w:div w:id="5599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1281">
              <w:marLeft w:val="0"/>
              <w:marRight w:val="0"/>
              <w:marTop w:val="0"/>
              <w:marBottom w:val="0"/>
              <w:divBdr>
                <w:top w:val="none" w:sz="0" w:space="0" w:color="auto"/>
                <w:left w:val="none" w:sz="0" w:space="0" w:color="auto"/>
                <w:bottom w:val="none" w:sz="0" w:space="0" w:color="auto"/>
                <w:right w:val="none" w:sz="0" w:space="0" w:color="auto"/>
              </w:divBdr>
            </w:div>
            <w:div w:id="1686863845">
              <w:marLeft w:val="0"/>
              <w:marRight w:val="0"/>
              <w:marTop w:val="0"/>
              <w:marBottom w:val="0"/>
              <w:divBdr>
                <w:top w:val="none" w:sz="0" w:space="0" w:color="auto"/>
                <w:left w:val="none" w:sz="0" w:space="0" w:color="auto"/>
                <w:bottom w:val="none" w:sz="0" w:space="0" w:color="auto"/>
                <w:right w:val="none" w:sz="0" w:space="0" w:color="auto"/>
              </w:divBdr>
            </w:div>
            <w:div w:id="521284947">
              <w:marLeft w:val="0"/>
              <w:marRight w:val="0"/>
              <w:marTop w:val="0"/>
              <w:marBottom w:val="0"/>
              <w:divBdr>
                <w:top w:val="none" w:sz="0" w:space="0" w:color="auto"/>
                <w:left w:val="none" w:sz="0" w:space="0" w:color="auto"/>
                <w:bottom w:val="none" w:sz="0" w:space="0" w:color="auto"/>
                <w:right w:val="none" w:sz="0" w:space="0" w:color="auto"/>
              </w:divBdr>
            </w:div>
            <w:div w:id="1656648056">
              <w:marLeft w:val="0"/>
              <w:marRight w:val="0"/>
              <w:marTop w:val="0"/>
              <w:marBottom w:val="0"/>
              <w:divBdr>
                <w:top w:val="none" w:sz="0" w:space="0" w:color="auto"/>
                <w:left w:val="none" w:sz="0" w:space="0" w:color="auto"/>
                <w:bottom w:val="none" w:sz="0" w:space="0" w:color="auto"/>
                <w:right w:val="none" w:sz="0" w:space="0" w:color="auto"/>
              </w:divBdr>
            </w:div>
            <w:div w:id="744689275">
              <w:marLeft w:val="0"/>
              <w:marRight w:val="0"/>
              <w:marTop w:val="0"/>
              <w:marBottom w:val="0"/>
              <w:divBdr>
                <w:top w:val="none" w:sz="0" w:space="0" w:color="auto"/>
                <w:left w:val="none" w:sz="0" w:space="0" w:color="auto"/>
                <w:bottom w:val="none" w:sz="0" w:space="0" w:color="auto"/>
                <w:right w:val="none" w:sz="0" w:space="0" w:color="auto"/>
              </w:divBdr>
            </w:div>
            <w:div w:id="20667953">
              <w:marLeft w:val="0"/>
              <w:marRight w:val="0"/>
              <w:marTop w:val="0"/>
              <w:marBottom w:val="0"/>
              <w:divBdr>
                <w:top w:val="none" w:sz="0" w:space="0" w:color="auto"/>
                <w:left w:val="none" w:sz="0" w:space="0" w:color="auto"/>
                <w:bottom w:val="none" w:sz="0" w:space="0" w:color="auto"/>
                <w:right w:val="none" w:sz="0" w:space="0" w:color="auto"/>
              </w:divBdr>
            </w:div>
            <w:div w:id="3356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BA10-17AA-4776-A0E2-997E5E2E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12</cp:revision>
  <dcterms:created xsi:type="dcterms:W3CDTF">2016-08-11T05:55:00Z</dcterms:created>
  <dcterms:modified xsi:type="dcterms:W3CDTF">2016-08-14T14:06:00Z</dcterms:modified>
</cp:coreProperties>
</file>