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46" w:rsidRDefault="00A83932" w:rsidP="0054105D">
      <w:pPr>
        <w:jc w:val="center"/>
        <w:rPr>
          <w:b/>
          <w:lang w:val="uk-UA"/>
        </w:rPr>
      </w:pPr>
      <w:r>
        <w:rPr>
          <w:b/>
          <w:lang w:val="uk-UA"/>
        </w:rPr>
        <w:t>'</w:t>
      </w:r>
    </w:p>
    <w:p w:rsidR="00EA6246" w:rsidRDefault="00EA6246" w:rsidP="0054105D">
      <w:pPr>
        <w:jc w:val="center"/>
        <w:rPr>
          <w:b/>
          <w:lang w:val="uk-UA"/>
        </w:rPr>
      </w:pPr>
    </w:p>
    <w:p w:rsidR="00150A7C" w:rsidRPr="00150A7C" w:rsidRDefault="00150A7C" w:rsidP="00150A7C">
      <w:pPr>
        <w:jc w:val="right"/>
        <w:rPr>
          <w:i/>
          <w:lang w:val="uk-UA"/>
        </w:rPr>
      </w:pPr>
      <w:r w:rsidRPr="00150A7C">
        <w:rPr>
          <w:i/>
          <w:lang w:val="uk-UA"/>
        </w:rPr>
        <w:t>Проект</w:t>
      </w:r>
    </w:p>
    <w:p w:rsidR="00150A7C" w:rsidRDefault="00150A7C" w:rsidP="0043008E">
      <w:pPr>
        <w:jc w:val="center"/>
        <w:rPr>
          <w:b/>
          <w:lang w:val="uk-UA"/>
        </w:rPr>
      </w:pPr>
    </w:p>
    <w:p w:rsidR="001A5E68" w:rsidRDefault="001A5E68" w:rsidP="0043008E">
      <w:pPr>
        <w:jc w:val="center"/>
        <w:rPr>
          <w:b/>
          <w:lang w:val="uk-UA"/>
        </w:rPr>
      </w:pPr>
    </w:p>
    <w:p w:rsidR="001A5E68" w:rsidRDefault="001A5E68" w:rsidP="0043008E">
      <w:pPr>
        <w:jc w:val="center"/>
        <w:rPr>
          <w:b/>
          <w:lang w:val="uk-UA"/>
        </w:rPr>
      </w:pPr>
    </w:p>
    <w:p w:rsidR="0043008E" w:rsidRDefault="0074156F" w:rsidP="0043008E">
      <w:pPr>
        <w:jc w:val="center"/>
        <w:rPr>
          <w:b/>
          <w:lang w:val="uk-UA"/>
        </w:rPr>
      </w:pPr>
      <w:r>
        <w:rPr>
          <w:b/>
          <w:lang w:val="uk-UA"/>
        </w:rPr>
        <w:t>ПРОПОЗИЦІЇ</w:t>
      </w:r>
    </w:p>
    <w:p w:rsidR="00300D64" w:rsidRDefault="0074156F" w:rsidP="0043008E">
      <w:pPr>
        <w:jc w:val="center"/>
        <w:rPr>
          <w:b/>
          <w:lang w:val="uk-UA"/>
        </w:rPr>
      </w:pPr>
      <w:r>
        <w:rPr>
          <w:b/>
          <w:lang w:val="uk-UA"/>
        </w:rPr>
        <w:t>щодо механізму надання дотацій сільгоспвиробнику малого та середнього розміру</w:t>
      </w:r>
    </w:p>
    <w:p w:rsidR="0043008E" w:rsidRDefault="0043008E" w:rsidP="0043008E">
      <w:pPr>
        <w:jc w:val="both"/>
        <w:rPr>
          <w:b/>
          <w:lang w:val="uk-UA"/>
        </w:rPr>
      </w:pPr>
    </w:p>
    <w:p w:rsidR="001A5E68" w:rsidRDefault="001A5E68" w:rsidP="0043008E">
      <w:pPr>
        <w:jc w:val="both"/>
        <w:rPr>
          <w:b/>
          <w:lang w:val="uk-UA"/>
        </w:rPr>
      </w:pPr>
    </w:p>
    <w:p w:rsidR="00DE0C36" w:rsidRDefault="00DE0C36" w:rsidP="0043008E">
      <w:pPr>
        <w:jc w:val="both"/>
        <w:rPr>
          <w:b/>
          <w:lang w:val="uk-UA"/>
        </w:rPr>
      </w:pPr>
    </w:p>
    <w:p w:rsidR="00C93138" w:rsidRPr="001E734C" w:rsidRDefault="00C93138" w:rsidP="001E734C">
      <w:pPr>
        <w:pStyle w:val="a7"/>
        <w:numPr>
          <w:ilvl w:val="0"/>
          <w:numId w:val="14"/>
        </w:numPr>
        <w:jc w:val="both"/>
        <w:rPr>
          <w:b/>
          <w:szCs w:val="20"/>
          <w:lang w:val="uk-UA"/>
        </w:rPr>
      </w:pPr>
      <w:r w:rsidRPr="001E734C">
        <w:rPr>
          <w:b/>
          <w:szCs w:val="20"/>
          <w:lang w:val="uk-UA"/>
        </w:rPr>
        <w:t xml:space="preserve">Вступ </w:t>
      </w:r>
    </w:p>
    <w:p w:rsidR="00FF2617" w:rsidRDefault="00FF2617" w:rsidP="0043008E">
      <w:pPr>
        <w:jc w:val="both"/>
        <w:rPr>
          <w:b/>
          <w:szCs w:val="20"/>
          <w:lang w:val="uk-UA"/>
        </w:rPr>
      </w:pPr>
    </w:p>
    <w:p w:rsidR="00FF2617" w:rsidRDefault="00FF2617" w:rsidP="00FF2617">
      <w:pPr>
        <w:jc w:val="both"/>
        <w:rPr>
          <w:szCs w:val="20"/>
          <w:lang w:val="uk-UA"/>
        </w:rPr>
      </w:pPr>
      <w:r w:rsidRPr="00FF2617">
        <w:rPr>
          <w:szCs w:val="20"/>
          <w:lang w:val="uk-UA"/>
        </w:rPr>
        <w:t>Планом пріоритетних дій Уряду</w:t>
      </w:r>
      <w:r>
        <w:rPr>
          <w:szCs w:val="20"/>
          <w:lang w:val="uk-UA"/>
        </w:rPr>
        <w:t xml:space="preserve"> </w:t>
      </w:r>
      <w:r w:rsidRPr="00FF2617">
        <w:rPr>
          <w:szCs w:val="20"/>
          <w:lang w:val="uk-UA"/>
        </w:rPr>
        <w:t>на 2016 рік</w:t>
      </w:r>
      <w:r>
        <w:rPr>
          <w:szCs w:val="20"/>
          <w:lang w:val="uk-UA"/>
        </w:rPr>
        <w:t xml:space="preserve"> передбачено, що обсяг підтримки за рахунок коштів державного бюджету повинен бути не меншим 1% від обсягу виробництва валової продукції сільського господарства</w:t>
      </w:r>
      <w:r w:rsidR="00D3026B">
        <w:rPr>
          <w:szCs w:val="20"/>
          <w:lang w:val="uk-UA"/>
        </w:rPr>
        <w:t xml:space="preserve"> (розмір державної підтримки аграрного сектору в 2014 році становив 24,4 млрд. грн.)</w:t>
      </w:r>
      <w:r>
        <w:rPr>
          <w:szCs w:val="20"/>
          <w:lang w:val="uk-UA"/>
        </w:rPr>
        <w:t>. До кінця 2016 року аграрний сектор має отримати додаткове фінансування в обсязі 450 млн.грн.</w:t>
      </w:r>
      <w:r w:rsidR="00D3026B">
        <w:rPr>
          <w:szCs w:val="20"/>
          <w:lang w:val="uk-UA"/>
        </w:rPr>
        <w:t xml:space="preserve"> </w:t>
      </w:r>
    </w:p>
    <w:p w:rsidR="00FF2617" w:rsidRDefault="00FF2617" w:rsidP="00FF2617">
      <w:pPr>
        <w:jc w:val="both"/>
        <w:rPr>
          <w:szCs w:val="20"/>
          <w:lang w:val="uk-UA"/>
        </w:rPr>
      </w:pPr>
    </w:p>
    <w:p w:rsidR="00DA5A3C" w:rsidRDefault="00DA5A3C" w:rsidP="00FF2617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Кошти додаткової державної фінансової допомоги мають бути використаними на підвищення конкурентоспроможності малих і середніх сільгоспвиробників та збільшення обсягів виробництва сільгосппродукції з високою доданою вартістю. </w:t>
      </w:r>
    </w:p>
    <w:p w:rsidR="00DA5A3C" w:rsidRDefault="00DA5A3C" w:rsidP="00FF2617">
      <w:pPr>
        <w:jc w:val="both"/>
        <w:rPr>
          <w:szCs w:val="20"/>
          <w:lang w:val="uk-UA"/>
        </w:rPr>
      </w:pPr>
    </w:p>
    <w:p w:rsidR="00FF2617" w:rsidRDefault="00DA5A3C" w:rsidP="00FF2617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>В першу чергу підтримку на розвиток багаторічних насаджень та тваринництва мають отримати підприємства, які обробляють площу до 500 га. Також в першу чергу має бути підтриманим розвиток фермерства і кооперації.</w:t>
      </w:r>
    </w:p>
    <w:p w:rsidR="00DA5A3C" w:rsidRDefault="00DA5A3C" w:rsidP="00FF2617">
      <w:pPr>
        <w:jc w:val="both"/>
        <w:rPr>
          <w:szCs w:val="20"/>
          <w:lang w:val="uk-UA"/>
        </w:rPr>
      </w:pPr>
    </w:p>
    <w:p w:rsidR="00DA5A3C" w:rsidRPr="00DC25B0" w:rsidRDefault="00DA5A3C" w:rsidP="00FF2617">
      <w:pPr>
        <w:jc w:val="both"/>
        <w:rPr>
          <w:szCs w:val="20"/>
          <w:lang w:val="uk-UA"/>
        </w:rPr>
      </w:pPr>
      <w:r w:rsidRPr="00DC25B0">
        <w:rPr>
          <w:szCs w:val="20"/>
          <w:lang w:val="uk-UA"/>
        </w:rPr>
        <w:t xml:space="preserve">До кінця року мають бути: </w:t>
      </w:r>
    </w:p>
    <w:p w:rsidR="00DA5A3C" w:rsidRPr="00DC25B0" w:rsidRDefault="00DA5A3C" w:rsidP="00FF2617">
      <w:pPr>
        <w:jc w:val="both"/>
        <w:rPr>
          <w:szCs w:val="20"/>
          <w:lang w:val="uk-UA"/>
        </w:rPr>
      </w:pPr>
    </w:p>
    <w:p w:rsidR="00DA5A3C" w:rsidRPr="00DC25B0" w:rsidRDefault="00DA5A3C" w:rsidP="00DA5A3C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DC25B0">
        <w:rPr>
          <w:szCs w:val="20"/>
          <w:lang w:val="uk-UA"/>
        </w:rPr>
        <w:t>внесені зміни до Закону України "Про особливості страхування сільськогосподарської продукції з державною підтримкою"</w:t>
      </w:r>
    </w:p>
    <w:p w:rsidR="00DA5A3C" w:rsidRPr="00DC25B0" w:rsidRDefault="00DA5A3C" w:rsidP="00DA5A3C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DC25B0">
        <w:rPr>
          <w:szCs w:val="20"/>
          <w:lang w:val="uk-UA"/>
        </w:rPr>
        <w:t>вдосконалені механізми державної підтримки сільського господарства</w:t>
      </w:r>
    </w:p>
    <w:p w:rsidR="00635AD4" w:rsidRPr="00DC25B0" w:rsidRDefault="00635AD4" w:rsidP="00635AD4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DC25B0">
        <w:rPr>
          <w:szCs w:val="20"/>
          <w:lang w:val="uk-UA"/>
        </w:rPr>
        <w:t>розроблені заходи з стимулювання розвитку аграрного сектору</w:t>
      </w:r>
    </w:p>
    <w:p w:rsidR="00DA5A3C" w:rsidRPr="00DC25B0" w:rsidRDefault="00DA5A3C" w:rsidP="00DA5A3C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DC25B0">
        <w:rPr>
          <w:szCs w:val="20"/>
          <w:lang w:val="uk-UA"/>
        </w:rPr>
        <w:t>підтримане створення підприємств з поглибленою переробкою</w:t>
      </w:r>
      <w:r w:rsidR="00915D65" w:rsidRPr="00DC25B0">
        <w:rPr>
          <w:szCs w:val="20"/>
          <w:lang w:val="uk-UA"/>
        </w:rPr>
        <w:t xml:space="preserve"> сільськогосподарської сировини</w:t>
      </w:r>
    </w:p>
    <w:p w:rsidR="00915D65" w:rsidRPr="00DC25B0" w:rsidRDefault="00915D65" w:rsidP="00DA5A3C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DC25B0">
        <w:rPr>
          <w:szCs w:val="20"/>
          <w:lang w:val="uk-UA"/>
        </w:rPr>
        <w:t>підтримане виробництво органічної продукції</w:t>
      </w:r>
    </w:p>
    <w:p w:rsidR="00C57F32" w:rsidRPr="00DC25B0" w:rsidRDefault="00C57F32" w:rsidP="00C57F32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DC25B0">
        <w:rPr>
          <w:szCs w:val="20"/>
          <w:lang w:val="uk-UA"/>
        </w:rPr>
        <w:t>підтриманий розвиток кооперації</w:t>
      </w:r>
    </w:p>
    <w:p w:rsidR="00C57F32" w:rsidRPr="00DC25B0" w:rsidRDefault="00C57F32" w:rsidP="00C57F32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DC25B0">
        <w:rPr>
          <w:szCs w:val="20"/>
          <w:lang w:val="uk-UA"/>
        </w:rPr>
        <w:t>підтримане нарощування експортного потенціалу малих та середніх сільгоспвиробників</w:t>
      </w:r>
    </w:p>
    <w:p w:rsidR="00C57F32" w:rsidRPr="00DC25B0" w:rsidRDefault="00C57F32" w:rsidP="00C57F32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DC25B0">
        <w:rPr>
          <w:szCs w:val="20"/>
          <w:lang w:val="uk-UA"/>
        </w:rPr>
        <w:t>створені умови для залучення малих виробників в організований аграрний ринок</w:t>
      </w:r>
    </w:p>
    <w:p w:rsidR="00915D65" w:rsidRPr="00DC25B0" w:rsidRDefault="00915D65" w:rsidP="00DA5A3C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DC25B0">
        <w:rPr>
          <w:szCs w:val="20"/>
          <w:lang w:val="uk-UA"/>
        </w:rPr>
        <w:t>забезпечений подальший розвиток аграрного ринку</w:t>
      </w:r>
    </w:p>
    <w:p w:rsidR="00635AD4" w:rsidRPr="00DC25B0" w:rsidRDefault="00635AD4" w:rsidP="00635AD4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DC25B0">
        <w:rPr>
          <w:szCs w:val="20"/>
          <w:lang w:val="uk-UA"/>
        </w:rPr>
        <w:t>реорганізований або приватизований ПАТ "Державний земельний банк"</w:t>
      </w:r>
    </w:p>
    <w:p w:rsidR="00635AD4" w:rsidRPr="00DC25B0" w:rsidRDefault="00635AD4" w:rsidP="00635AD4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DC25B0">
        <w:rPr>
          <w:szCs w:val="20"/>
          <w:lang w:val="uk-UA"/>
        </w:rPr>
        <w:t>проведена роз‘яснювальна робота серед потенційних учасників</w:t>
      </w:r>
    </w:p>
    <w:p w:rsidR="00915D65" w:rsidRPr="002502E4" w:rsidRDefault="00915D65" w:rsidP="002502E4">
      <w:pPr>
        <w:jc w:val="both"/>
        <w:rPr>
          <w:szCs w:val="20"/>
          <w:lang w:val="uk-UA"/>
        </w:rPr>
      </w:pPr>
    </w:p>
    <w:p w:rsidR="002502E4" w:rsidRPr="002502E4" w:rsidRDefault="00915D65" w:rsidP="002502E4">
      <w:pPr>
        <w:jc w:val="both"/>
        <w:rPr>
          <w:lang w:val="uk-UA"/>
        </w:rPr>
      </w:pPr>
      <w:r w:rsidRPr="002502E4">
        <w:rPr>
          <w:szCs w:val="20"/>
          <w:lang w:val="uk-UA"/>
        </w:rPr>
        <w:t xml:space="preserve">Брак часу, відведеного на виконання поставлених завдань і необхідність витратити виділені кошти саме в 2016 році, скоріш за все </w:t>
      </w:r>
      <w:r w:rsidR="00026620">
        <w:rPr>
          <w:szCs w:val="20"/>
          <w:lang w:val="uk-UA"/>
        </w:rPr>
        <w:t>с</w:t>
      </w:r>
      <w:r w:rsidRPr="002502E4">
        <w:rPr>
          <w:szCs w:val="20"/>
          <w:lang w:val="uk-UA"/>
        </w:rPr>
        <w:t xml:space="preserve">приятиме "точковому", несистемному вирішенню проблеми підтримки сільгоспвиробника. </w:t>
      </w:r>
      <w:r w:rsidR="002502E4" w:rsidRPr="002502E4">
        <w:rPr>
          <w:szCs w:val="20"/>
          <w:lang w:val="uk-UA"/>
        </w:rPr>
        <w:t>К</w:t>
      </w:r>
      <w:r w:rsidRPr="002502E4">
        <w:rPr>
          <w:szCs w:val="20"/>
          <w:lang w:val="uk-UA"/>
        </w:rPr>
        <w:t>ошти</w:t>
      </w:r>
      <w:r w:rsidR="002502E4" w:rsidRPr="002502E4">
        <w:rPr>
          <w:szCs w:val="20"/>
          <w:lang w:val="uk-UA"/>
        </w:rPr>
        <w:t xml:space="preserve"> державної підтримки</w:t>
      </w:r>
      <w:r w:rsidR="00F20E72" w:rsidRPr="002502E4">
        <w:rPr>
          <w:szCs w:val="20"/>
          <w:lang w:val="uk-UA"/>
        </w:rPr>
        <w:t>, скоріш за все,</w:t>
      </w:r>
      <w:r w:rsidRPr="002502E4">
        <w:rPr>
          <w:szCs w:val="20"/>
          <w:lang w:val="uk-UA"/>
        </w:rPr>
        <w:t xml:space="preserve"> зможуть отримати лише обрані "кишенькові" підприємства</w:t>
      </w:r>
      <w:r w:rsidR="002502E4" w:rsidRPr="002502E4">
        <w:rPr>
          <w:szCs w:val="20"/>
          <w:lang w:val="uk-UA"/>
        </w:rPr>
        <w:t xml:space="preserve">, а сама </w:t>
      </w:r>
      <w:r w:rsidR="00F20E72" w:rsidRPr="002502E4">
        <w:rPr>
          <w:szCs w:val="20"/>
          <w:lang w:val="uk-UA"/>
        </w:rPr>
        <w:t xml:space="preserve">ідея підтримки сільгоспвиробника може бути в черговий раз </w:t>
      </w:r>
      <w:r w:rsidR="002502E4" w:rsidRPr="002502E4">
        <w:rPr>
          <w:szCs w:val="20"/>
          <w:lang w:val="uk-UA"/>
        </w:rPr>
        <w:t xml:space="preserve">виявитися </w:t>
      </w:r>
      <w:r w:rsidR="00F20E72" w:rsidRPr="002502E4">
        <w:rPr>
          <w:szCs w:val="20"/>
          <w:lang w:val="uk-UA"/>
        </w:rPr>
        <w:t>дискредитован</w:t>
      </w:r>
      <w:r w:rsidR="002502E4" w:rsidRPr="002502E4">
        <w:rPr>
          <w:szCs w:val="20"/>
          <w:lang w:val="uk-UA"/>
        </w:rPr>
        <w:t>ою</w:t>
      </w:r>
      <w:r w:rsidR="00F20E72" w:rsidRPr="002502E4">
        <w:rPr>
          <w:szCs w:val="20"/>
          <w:lang w:val="uk-UA"/>
        </w:rPr>
        <w:t xml:space="preserve">. Для того, щоб цього не відбулося, Аналітичний центр Аграрного союзу України </w:t>
      </w:r>
      <w:r w:rsidR="00150A7C" w:rsidRPr="002502E4">
        <w:rPr>
          <w:szCs w:val="20"/>
          <w:lang w:val="uk-UA"/>
        </w:rPr>
        <w:t xml:space="preserve">працює над пропозиціями </w:t>
      </w:r>
      <w:r w:rsidR="002502E4" w:rsidRPr="002502E4">
        <w:rPr>
          <w:lang w:val="uk-UA"/>
        </w:rPr>
        <w:t>щодо механізму надання дотацій сільгоспвиробнику малого та середнього розміру</w:t>
      </w:r>
      <w:r w:rsidR="002502E4">
        <w:rPr>
          <w:lang w:val="uk-UA"/>
        </w:rPr>
        <w:t>, які б заклали прозору системну основу для надання дотацій.</w:t>
      </w:r>
    </w:p>
    <w:p w:rsidR="00915D65" w:rsidRDefault="00915D65" w:rsidP="002502E4">
      <w:pPr>
        <w:jc w:val="both"/>
        <w:rPr>
          <w:szCs w:val="20"/>
          <w:lang w:val="uk-UA"/>
        </w:rPr>
      </w:pPr>
    </w:p>
    <w:p w:rsidR="00C57F32" w:rsidRDefault="00C57F32" w:rsidP="002502E4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Зі свого боку, сільгоспвиробники в якості </w:t>
      </w:r>
      <w:r w:rsidR="009E72D7">
        <w:rPr>
          <w:szCs w:val="20"/>
          <w:lang w:val="uk-UA"/>
        </w:rPr>
        <w:t>прі</w:t>
      </w:r>
      <w:r>
        <w:rPr>
          <w:szCs w:val="20"/>
          <w:lang w:val="uk-UA"/>
        </w:rPr>
        <w:t>ор</w:t>
      </w:r>
      <w:r w:rsidR="009E72D7">
        <w:rPr>
          <w:szCs w:val="20"/>
          <w:lang w:val="uk-UA"/>
        </w:rPr>
        <w:t>и</w:t>
      </w:r>
      <w:r>
        <w:rPr>
          <w:szCs w:val="20"/>
          <w:lang w:val="uk-UA"/>
        </w:rPr>
        <w:t>тет</w:t>
      </w:r>
      <w:r w:rsidR="009E72D7">
        <w:rPr>
          <w:szCs w:val="20"/>
          <w:lang w:val="uk-UA"/>
        </w:rPr>
        <w:t>і</w:t>
      </w:r>
      <w:r>
        <w:rPr>
          <w:szCs w:val="20"/>
          <w:lang w:val="uk-UA"/>
        </w:rPr>
        <w:t>в державної підтримки бачать:</w:t>
      </w:r>
    </w:p>
    <w:p w:rsidR="00C57F32" w:rsidRDefault="00C57F32" w:rsidP="002502E4">
      <w:pPr>
        <w:jc w:val="both"/>
        <w:rPr>
          <w:szCs w:val="20"/>
          <w:lang w:val="uk-UA"/>
        </w:rPr>
      </w:pPr>
    </w:p>
    <w:p w:rsidR="00C57F32" w:rsidRDefault="00C57F32" w:rsidP="00C57F32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>
        <w:rPr>
          <w:szCs w:val="20"/>
          <w:lang w:val="uk-UA"/>
        </w:rPr>
        <w:t>надання дотацій на підтримку діяльності в галузі тваринництва, перш за все велика рогата худоба</w:t>
      </w:r>
    </w:p>
    <w:p w:rsidR="00C57F32" w:rsidRDefault="00C57F32" w:rsidP="00C57F32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надання дотацій на </w:t>
      </w:r>
      <w:r w:rsidR="009E72D7">
        <w:rPr>
          <w:szCs w:val="20"/>
          <w:lang w:val="uk-UA"/>
        </w:rPr>
        <w:t>виробництво молока</w:t>
      </w:r>
    </w:p>
    <w:p w:rsidR="009E72D7" w:rsidRDefault="009E72D7" w:rsidP="00C57F32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>
        <w:rPr>
          <w:szCs w:val="20"/>
          <w:lang w:val="uk-UA"/>
        </w:rPr>
        <w:t>забезпечення розвитку кооперативної логістики, перш за все – будівництво кооперативних елеваторів</w:t>
      </w:r>
    </w:p>
    <w:p w:rsidR="009E72D7" w:rsidRDefault="009E72D7" w:rsidP="00C57F32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>
        <w:rPr>
          <w:szCs w:val="20"/>
          <w:lang w:val="uk-UA"/>
        </w:rPr>
        <w:t>надання дотацій при становленні фермерських господарств</w:t>
      </w:r>
    </w:p>
    <w:p w:rsidR="004E634C" w:rsidRPr="00C57F32" w:rsidRDefault="004E634C" w:rsidP="00C57F32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>
        <w:rPr>
          <w:szCs w:val="20"/>
          <w:lang w:val="uk-UA"/>
        </w:rPr>
        <w:t>підтримка розвитку сільських територій</w:t>
      </w:r>
    </w:p>
    <w:p w:rsidR="00DA5A3C" w:rsidRPr="002502E4" w:rsidRDefault="00DA5A3C" w:rsidP="002502E4">
      <w:pPr>
        <w:jc w:val="both"/>
        <w:rPr>
          <w:szCs w:val="20"/>
          <w:lang w:val="uk-UA"/>
        </w:rPr>
      </w:pPr>
    </w:p>
    <w:p w:rsidR="00C93138" w:rsidRPr="00C93138" w:rsidRDefault="00C93138" w:rsidP="0043008E">
      <w:pPr>
        <w:jc w:val="both"/>
        <w:rPr>
          <w:b/>
          <w:szCs w:val="20"/>
          <w:lang w:val="uk-UA"/>
        </w:rPr>
      </w:pPr>
    </w:p>
    <w:p w:rsidR="001A5E68" w:rsidRDefault="001A5E68">
      <w:pPr>
        <w:spacing w:after="200" w:line="276" w:lineRule="auto"/>
        <w:rPr>
          <w:b/>
          <w:szCs w:val="20"/>
          <w:lang w:val="uk-UA"/>
        </w:rPr>
      </w:pPr>
      <w:r>
        <w:rPr>
          <w:b/>
          <w:szCs w:val="20"/>
          <w:lang w:val="uk-UA"/>
        </w:rPr>
        <w:br w:type="page"/>
      </w:r>
    </w:p>
    <w:p w:rsidR="001A5E68" w:rsidRDefault="001A5E68" w:rsidP="0043008E">
      <w:pPr>
        <w:jc w:val="both"/>
        <w:rPr>
          <w:b/>
          <w:szCs w:val="20"/>
          <w:lang w:val="uk-UA"/>
        </w:rPr>
      </w:pPr>
    </w:p>
    <w:p w:rsidR="0043008E" w:rsidRPr="001E734C" w:rsidRDefault="0074156F" w:rsidP="001E734C">
      <w:pPr>
        <w:pStyle w:val="a7"/>
        <w:numPr>
          <w:ilvl w:val="0"/>
          <w:numId w:val="14"/>
        </w:numPr>
        <w:jc w:val="both"/>
        <w:rPr>
          <w:b/>
          <w:szCs w:val="20"/>
          <w:lang w:val="uk-UA"/>
        </w:rPr>
      </w:pPr>
      <w:r w:rsidRPr="001E734C">
        <w:rPr>
          <w:b/>
          <w:szCs w:val="20"/>
          <w:lang w:val="uk-UA"/>
        </w:rPr>
        <w:t>Засадничі принципи</w:t>
      </w:r>
    </w:p>
    <w:p w:rsidR="0043008E" w:rsidRPr="0074156F" w:rsidRDefault="0043008E" w:rsidP="0043008E">
      <w:pPr>
        <w:jc w:val="both"/>
        <w:rPr>
          <w:szCs w:val="20"/>
          <w:lang w:val="uk-UA"/>
        </w:rPr>
      </w:pPr>
    </w:p>
    <w:p w:rsidR="005728E4" w:rsidRPr="001E734C" w:rsidRDefault="001E734C" w:rsidP="001E734C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2.1. </w:t>
      </w:r>
      <w:r w:rsidR="0074156F" w:rsidRPr="001E734C">
        <w:rPr>
          <w:szCs w:val="20"/>
          <w:lang w:val="uk-UA"/>
        </w:rPr>
        <w:t>Система дотацій має бути адресованою виключно малим та середнім сільськогосподарським підприємствам</w:t>
      </w:r>
      <w:r w:rsidR="005728E4" w:rsidRPr="001E734C">
        <w:rPr>
          <w:szCs w:val="20"/>
          <w:lang w:val="uk-UA"/>
        </w:rPr>
        <w:t xml:space="preserve">. Використання системи дотацій господарствами, які ведуть інтенсивну широкомасштабну виробничу діяльність має бути повністю виключене. </w:t>
      </w:r>
    </w:p>
    <w:p w:rsidR="005728E4" w:rsidRDefault="005728E4" w:rsidP="005728E4">
      <w:pPr>
        <w:pStyle w:val="a7"/>
        <w:ind w:left="360"/>
        <w:jc w:val="both"/>
        <w:rPr>
          <w:szCs w:val="20"/>
          <w:lang w:val="uk-UA"/>
        </w:rPr>
      </w:pPr>
    </w:p>
    <w:p w:rsidR="005728E4" w:rsidRDefault="005728E4" w:rsidP="005728E4">
      <w:pPr>
        <w:pStyle w:val="a7"/>
        <w:ind w:left="360"/>
        <w:jc w:val="both"/>
        <w:rPr>
          <w:szCs w:val="20"/>
          <w:lang w:val="uk-UA"/>
        </w:rPr>
      </w:pPr>
      <w:r>
        <w:rPr>
          <w:szCs w:val="20"/>
          <w:lang w:val="uk-UA"/>
        </w:rPr>
        <w:t>Малі та середні господарства:</w:t>
      </w:r>
    </w:p>
    <w:p w:rsidR="0074156F" w:rsidRDefault="0074156F" w:rsidP="0074156F">
      <w:pPr>
        <w:pStyle w:val="a7"/>
        <w:numPr>
          <w:ilvl w:val="0"/>
          <w:numId w:val="7"/>
        </w:numPr>
        <w:jc w:val="both"/>
        <w:rPr>
          <w:szCs w:val="20"/>
          <w:lang w:val="uk-UA"/>
        </w:rPr>
      </w:pPr>
      <w:r w:rsidRPr="0074156F">
        <w:rPr>
          <w:szCs w:val="20"/>
          <w:lang w:val="uk-UA"/>
        </w:rPr>
        <w:t xml:space="preserve">обробляють площу від </w:t>
      </w:r>
      <w:r w:rsidR="00635AD4">
        <w:rPr>
          <w:szCs w:val="20"/>
          <w:lang w:val="uk-UA"/>
        </w:rPr>
        <w:t xml:space="preserve">50 </w:t>
      </w:r>
      <w:r w:rsidRPr="0074156F">
        <w:rPr>
          <w:szCs w:val="20"/>
          <w:lang w:val="uk-UA"/>
        </w:rPr>
        <w:t xml:space="preserve">до 10 000 тисяч гектар (від </w:t>
      </w:r>
      <w:r w:rsidR="00C57F32">
        <w:rPr>
          <w:szCs w:val="20"/>
          <w:lang w:val="uk-UA"/>
        </w:rPr>
        <w:t>50</w:t>
      </w:r>
      <w:r w:rsidRPr="0074156F">
        <w:rPr>
          <w:szCs w:val="20"/>
          <w:lang w:val="uk-UA"/>
        </w:rPr>
        <w:t xml:space="preserve"> до 1 000 – малі, від 1 000 до 10 000 – середні)</w:t>
      </w:r>
    </w:p>
    <w:p w:rsidR="0074156F" w:rsidRDefault="0074156F" w:rsidP="0074156F">
      <w:pPr>
        <w:pStyle w:val="a7"/>
        <w:numPr>
          <w:ilvl w:val="0"/>
          <w:numId w:val="7"/>
        </w:numPr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мають річних обіг до </w:t>
      </w:r>
      <w:r w:rsidR="005728E4">
        <w:rPr>
          <w:szCs w:val="20"/>
          <w:lang w:val="uk-UA"/>
        </w:rPr>
        <w:t>5</w:t>
      </w:r>
      <w:r>
        <w:rPr>
          <w:szCs w:val="20"/>
          <w:lang w:val="uk-UA"/>
        </w:rPr>
        <w:t>0 000 млн. гривень</w:t>
      </w:r>
    </w:p>
    <w:p w:rsidR="0074156F" w:rsidRDefault="005728E4" w:rsidP="0074156F">
      <w:pPr>
        <w:pStyle w:val="a7"/>
        <w:numPr>
          <w:ilvl w:val="0"/>
          <w:numId w:val="7"/>
        </w:numPr>
        <w:jc w:val="both"/>
        <w:rPr>
          <w:szCs w:val="20"/>
          <w:lang w:val="uk-UA"/>
        </w:rPr>
      </w:pPr>
      <w:r>
        <w:rPr>
          <w:szCs w:val="20"/>
          <w:lang w:val="uk-UA"/>
        </w:rPr>
        <w:t>керівники та засновники яких проживають на території одного або декількох суміжних сільських районів</w:t>
      </w:r>
    </w:p>
    <w:p w:rsidR="005728E4" w:rsidRDefault="005728E4" w:rsidP="005728E4">
      <w:pPr>
        <w:jc w:val="both"/>
        <w:rPr>
          <w:szCs w:val="20"/>
          <w:lang w:val="uk-UA"/>
        </w:rPr>
      </w:pPr>
    </w:p>
    <w:p w:rsidR="005728E4" w:rsidRPr="001E734C" w:rsidRDefault="001E734C" w:rsidP="001E734C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2.2. </w:t>
      </w:r>
      <w:r w:rsidR="005728E4" w:rsidRPr="001E734C">
        <w:rPr>
          <w:szCs w:val="20"/>
          <w:lang w:val="uk-UA"/>
        </w:rPr>
        <w:t>Система дотацій має бути простою у використанні</w:t>
      </w:r>
      <w:r w:rsidR="00C57F32" w:rsidRPr="001E734C">
        <w:rPr>
          <w:szCs w:val="20"/>
          <w:lang w:val="uk-UA"/>
        </w:rPr>
        <w:t xml:space="preserve"> і </w:t>
      </w:r>
      <w:r w:rsidR="005728E4" w:rsidRPr="001E734C">
        <w:rPr>
          <w:szCs w:val="20"/>
          <w:lang w:val="uk-UA"/>
        </w:rPr>
        <w:t xml:space="preserve">спиратися на </w:t>
      </w:r>
      <w:r w:rsidR="00C57F32" w:rsidRPr="001E734C">
        <w:rPr>
          <w:szCs w:val="20"/>
          <w:lang w:val="uk-UA"/>
        </w:rPr>
        <w:t xml:space="preserve">достовірну </w:t>
      </w:r>
      <w:r w:rsidR="005728E4" w:rsidRPr="001E734C">
        <w:rPr>
          <w:szCs w:val="20"/>
          <w:lang w:val="uk-UA"/>
        </w:rPr>
        <w:t>інформацію, яка використовується при нарахуванні дотацій.</w:t>
      </w:r>
    </w:p>
    <w:p w:rsidR="005728E4" w:rsidRDefault="005728E4" w:rsidP="005728E4">
      <w:pPr>
        <w:pStyle w:val="a7"/>
        <w:ind w:left="360"/>
        <w:jc w:val="both"/>
        <w:rPr>
          <w:szCs w:val="20"/>
          <w:lang w:val="uk-UA"/>
        </w:rPr>
      </w:pPr>
    </w:p>
    <w:p w:rsidR="005728E4" w:rsidRPr="001E734C" w:rsidRDefault="001E734C" w:rsidP="001E734C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2.3. </w:t>
      </w:r>
      <w:r w:rsidR="005728E4" w:rsidRPr="001E734C">
        <w:rPr>
          <w:szCs w:val="20"/>
          <w:lang w:val="uk-UA"/>
        </w:rPr>
        <w:t xml:space="preserve">Система дотацій має бути спрямована на пом‘якшення наслідків дії критичних та/або найбільш ризикових </w:t>
      </w:r>
      <w:r w:rsidR="00EF18F3" w:rsidRPr="001E734C">
        <w:rPr>
          <w:szCs w:val="20"/>
          <w:lang w:val="uk-UA"/>
        </w:rPr>
        <w:t>факторів в ланцюгу сільськогосподарського виробництва та поставки його продукції кінцевому споживачу</w:t>
      </w:r>
      <w:r w:rsidR="00C57F32" w:rsidRPr="001E734C">
        <w:rPr>
          <w:szCs w:val="20"/>
          <w:lang w:val="uk-UA"/>
        </w:rPr>
        <w:t>, у тому числі на експорт</w:t>
      </w:r>
      <w:r w:rsidR="00EF18F3" w:rsidRPr="001E734C">
        <w:rPr>
          <w:szCs w:val="20"/>
          <w:lang w:val="uk-UA"/>
        </w:rPr>
        <w:t>.</w:t>
      </w:r>
    </w:p>
    <w:p w:rsidR="005728E4" w:rsidRPr="005728E4" w:rsidRDefault="005728E4" w:rsidP="005728E4">
      <w:pPr>
        <w:pStyle w:val="a7"/>
        <w:rPr>
          <w:szCs w:val="20"/>
          <w:lang w:val="uk-UA"/>
        </w:rPr>
      </w:pPr>
    </w:p>
    <w:p w:rsidR="005728E4" w:rsidRPr="001E734C" w:rsidRDefault="001E734C" w:rsidP="001E734C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2.4. </w:t>
      </w:r>
      <w:r w:rsidR="00E24682" w:rsidRPr="001E734C">
        <w:rPr>
          <w:szCs w:val="20"/>
          <w:lang w:val="uk-UA"/>
        </w:rPr>
        <w:t>Система дотацій має стимулювати розвиток сільськогосподарської кооперації як сучасної форми організації виробництва на селі</w:t>
      </w:r>
      <w:r w:rsidR="0077071D" w:rsidRPr="001E734C">
        <w:rPr>
          <w:szCs w:val="20"/>
          <w:lang w:val="uk-UA"/>
        </w:rPr>
        <w:t>*</w:t>
      </w:r>
      <w:r w:rsidR="00E24682" w:rsidRPr="001E734C">
        <w:rPr>
          <w:szCs w:val="20"/>
          <w:lang w:val="uk-UA"/>
        </w:rPr>
        <w:t>.</w:t>
      </w:r>
    </w:p>
    <w:p w:rsidR="0077071D" w:rsidRPr="0077071D" w:rsidRDefault="0077071D" w:rsidP="0077071D">
      <w:pPr>
        <w:pStyle w:val="a7"/>
        <w:rPr>
          <w:szCs w:val="20"/>
          <w:lang w:val="uk-UA"/>
        </w:rPr>
      </w:pPr>
    </w:p>
    <w:p w:rsidR="0077071D" w:rsidRDefault="0077071D" w:rsidP="0077071D">
      <w:pPr>
        <w:pStyle w:val="a7"/>
        <w:ind w:left="360"/>
        <w:jc w:val="both"/>
        <w:rPr>
          <w:sz w:val="18"/>
          <w:szCs w:val="18"/>
          <w:lang w:val="uk-UA"/>
        </w:rPr>
      </w:pPr>
      <w:r w:rsidRPr="00E731C5">
        <w:rPr>
          <w:sz w:val="18"/>
          <w:szCs w:val="18"/>
          <w:lang w:val="uk-UA"/>
        </w:rPr>
        <w:t>* сьогодні розвиток сільськогосподарської кооперації ускладнений тим, що кооператив визнається окремою юридичною особою і всі його стосунки зі своїми членами підлягають оподаткуванню (ПДВ, податок на прибуток, податок на доходи фізичних осіб)</w:t>
      </w:r>
      <w:r w:rsidR="00E731C5" w:rsidRPr="00E731C5">
        <w:rPr>
          <w:sz w:val="18"/>
          <w:szCs w:val="18"/>
          <w:lang w:val="uk-UA"/>
        </w:rPr>
        <w:t>, ця обставина</w:t>
      </w:r>
      <w:r w:rsidR="00E731C5">
        <w:rPr>
          <w:sz w:val="18"/>
          <w:szCs w:val="18"/>
          <w:lang w:val="uk-UA"/>
        </w:rPr>
        <w:t xml:space="preserve"> вимагає </w:t>
      </w:r>
      <w:r w:rsidR="00E8605A">
        <w:rPr>
          <w:sz w:val="18"/>
          <w:szCs w:val="18"/>
          <w:lang w:val="uk-UA"/>
        </w:rPr>
        <w:t xml:space="preserve">паралельного (одночасно з запровадженням дотацій) </w:t>
      </w:r>
      <w:r w:rsidR="00E731C5">
        <w:rPr>
          <w:sz w:val="18"/>
          <w:szCs w:val="18"/>
          <w:lang w:val="uk-UA"/>
        </w:rPr>
        <w:t>перегляду законодавства про кооперацію</w:t>
      </w:r>
      <w:r w:rsidR="00E8605A">
        <w:rPr>
          <w:sz w:val="18"/>
          <w:szCs w:val="18"/>
          <w:lang w:val="uk-UA"/>
        </w:rPr>
        <w:t xml:space="preserve"> з метою виключення додаткового необґрунтованого оподаткування сільгоспвиробника</w:t>
      </w:r>
    </w:p>
    <w:p w:rsidR="00C93138" w:rsidRDefault="00C93138" w:rsidP="0077071D">
      <w:pPr>
        <w:pStyle w:val="a7"/>
        <w:ind w:left="360"/>
        <w:jc w:val="both"/>
        <w:rPr>
          <w:sz w:val="18"/>
          <w:szCs w:val="18"/>
          <w:lang w:val="uk-UA"/>
        </w:rPr>
      </w:pPr>
    </w:p>
    <w:p w:rsidR="00C93138" w:rsidRPr="001E734C" w:rsidRDefault="001E734C" w:rsidP="001E734C">
      <w:pPr>
        <w:jc w:val="both"/>
        <w:rPr>
          <w:sz w:val="18"/>
          <w:szCs w:val="18"/>
          <w:lang w:val="uk-UA"/>
        </w:rPr>
      </w:pPr>
      <w:r>
        <w:rPr>
          <w:szCs w:val="20"/>
          <w:lang w:val="uk-UA"/>
        </w:rPr>
        <w:t xml:space="preserve">2.5. </w:t>
      </w:r>
      <w:r w:rsidR="00C93138" w:rsidRPr="001E734C">
        <w:rPr>
          <w:szCs w:val="20"/>
          <w:lang w:val="uk-UA"/>
        </w:rPr>
        <w:t>Система дотацій має стимулювати техніко-технологічне переоснащення малого та середнього аграрного бізнесу</w:t>
      </w:r>
    </w:p>
    <w:p w:rsidR="00C93138" w:rsidRDefault="00C93138" w:rsidP="00C93138">
      <w:pPr>
        <w:pStyle w:val="a7"/>
        <w:ind w:left="360"/>
        <w:jc w:val="both"/>
        <w:rPr>
          <w:sz w:val="18"/>
          <w:szCs w:val="18"/>
          <w:lang w:val="uk-UA"/>
        </w:rPr>
      </w:pPr>
    </w:p>
    <w:p w:rsidR="00C93138" w:rsidRDefault="00C93138" w:rsidP="00C93138">
      <w:pPr>
        <w:pStyle w:val="a7"/>
        <w:ind w:left="36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** надання дотацій потенційно здатне законсервувати архаїчне </w:t>
      </w:r>
      <w:r w:rsidR="00FF2617">
        <w:rPr>
          <w:sz w:val="18"/>
          <w:szCs w:val="18"/>
          <w:lang w:val="uk-UA"/>
        </w:rPr>
        <w:t xml:space="preserve">сільськогосподарське </w:t>
      </w:r>
      <w:r>
        <w:rPr>
          <w:sz w:val="18"/>
          <w:szCs w:val="18"/>
          <w:lang w:val="uk-UA"/>
        </w:rPr>
        <w:t xml:space="preserve">виробництво, тож підтримка поточної діяльності малих та середніх сільгоспвиробників має бути </w:t>
      </w:r>
      <w:r w:rsidR="00015BE1">
        <w:rPr>
          <w:sz w:val="18"/>
          <w:szCs w:val="18"/>
          <w:lang w:val="uk-UA"/>
        </w:rPr>
        <w:t>прямо</w:t>
      </w:r>
      <w:r w:rsidR="00FF2617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поєднана з</w:t>
      </w:r>
      <w:r w:rsidR="00FF2617">
        <w:rPr>
          <w:sz w:val="18"/>
          <w:szCs w:val="18"/>
          <w:lang w:val="uk-UA"/>
        </w:rPr>
        <w:t xml:space="preserve"> підтримкою їхнього техніко-технологічного розвитку</w:t>
      </w:r>
      <w:r>
        <w:rPr>
          <w:sz w:val="18"/>
          <w:szCs w:val="18"/>
          <w:lang w:val="uk-UA"/>
        </w:rPr>
        <w:t xml:space="preserve"> </w:t>
      </w:r>
    </w:p>
    <w:p w:rsidR="00C93138" w:rsidRPr="00C93138" w:rsidRDefault="00C93138" w:rsidP="00C93138">
      <w:pPr>
        <w:pStyle w:val="a7"/>
        <w:ind w:left="360"/>
        <w:jc w:val="both"/>
        <w:rPr>
          <w:sz w:val="18"/>
          <w:szCs w:val="18"/>
          <w:lang w:val="uk-UA"/>
        </w:rPr>
      </w:pPr>
    </w:p>
    <w:p w:rsidR="001F5E66" w:rsidRPr="001E734C" w:rsidRDefault="001E734C" w:rsidP="001E734C">
      <w:pPr>
        <w:jc w:val="both"/>
        <w:rPr>
          <w:sz w:val="18"/>
          <w:szCs w:val="18"/>
          <w:lang w:val="uk-UA"/>
        </w:rPr>
      </w:pPr>
      <w:r>
        <w:rPr>
          <w:szCs w:val="20"/>
          <w:lang w:val="uk-UA"/>
        </w:rPr>
        <w:t xml:space="preserve">2.6. </w:t>
      </w:r>
      <w:r w:rsidR="001F5E66" w:rsidRPr="001E734C">
        <w:rPr>
          <w:szCs w:val="20"/>
          <w:lang w:val="uk-UA"/>
        </w:rPr>
        <w:t>Система дотацій має сприяти дет</w:t>
      </w:r>
      <w:r w:rsidR="00015BE1" w:rsidRPr="001E734C">
        <w:rPr>
          <w:szCs w:val="20"/>
          <w:lang w:val="uk-UA"/>
        </w:rPr>
        <w:t>і</w:t>
      </w:r>
      <w:r w:rsidR="001F5E66" w:rsidRPr="001E734C">
        <w:rPr>
          <w:szCs w:val="20"/>
          <w:lang w:val="uk-UA"/>
        </w:rPr>
        <w:t>нізації сільського господарства, оскільки базується на інформації про здійснені банківські проводки.</w:t>
      </w:r>
    </w:p>
    <w:p w:rsidR="00015BE1" w:rsidRPr="00015BE1" w:rsidRDefault="00015BE1" w:rsidP="00015BE1">
      <w:pPr>
        <w:pStyle w:val="a7"/>
        <w:ind w:left="360"/>
        <w:jc w:val="both"/>
        <w:rPr>
          <w:sz w:val="18"/>
          <w:szCs w:val="18"/>
          <w:lang w:val="uk-UA"/>
        </w:rPr>
      </w:pPr>
    </w:p>
    <w:p w:rsidR="00015BE1" w:rsidRPr="001E734C" w:rsidRDefault="001E734C" w:rsidP="001E734C">
      <w:pPr>
        <w:jc w:val="both"/>
        <w:rPr>
          <w:sz w:val="18"/>
          <w:szCs w:val="18"/>
          <w:lang w:val="uk-UA"/>
        </w:rPr>
      </w:pPr>
      <w:r>
        <w:rPr>
          <w:szCs w:val="20"/>
          <w:lang w:val="uk-UA"/>
        </w:rPr>
        <w:t xml:space="preserve">2.7. </w:t>
      </w:r>
      <w:r w:rsidR="00015BE1" w:rsidRPr="001E734C">
        <w:rPr>
          <w:szCs w:val="20"/>
          <w:lang w:val="uk-UA"/>
        </w:rPr>
        <w:t xml:space="preserve">Система дотацій </w:t>
      </w:r>
      <w:r w:rsidR="00A16981">
        <w:rPr>
          <w:szCs w:val="20"/>
          <w:lang w:val="uk-UA"/>
        </w:rPr>
        <w:t xml:space="preserve">має </w:t>
      </w:r>
      <w:r w:rsidR="00037BC0" w:rsidRPr="001E734C">
        <w:rPr>
          <w:szCs w:val="20"/>
          <w:lang w:val="uk-UA"/>
        </w:rPr>
        <w:t>сприяти розвитку сервісної інфраструктури в сегменті малого та середнього бізнесу – кооперативів, дорадчої служби, аналітичних центрів, саморегулівних організацій</w:t>
      </w:r>
      <w:r w:rsidR="006C59E8" w:rsidRPr="001E734C">
        <w:rPr>
          <w:szCs w:val="20"/>
          <w:lang w:val="uk-UA"/>
        </w:rPr>
        <w:t>.</w:t>
      </w:r>
    </w:p>
    <w:p w:rsidR="00015BE1" w:rsidRPr="00015BE1" w:rsidRDefault="00015BE1" w:rsidP="00015BE1">
      <w:pPr>
        <w:pStyle w:val="a7"/>
        <w:ind w:left="360"/>
        <w:jc w:val="both"/>
        <w:rPr>
          <w:sz w:val="18"/>
          <w:szCs w:val="18"/>
          <w:lang w:val="uk-UA"/>
        </w:rPr>
      </w:pPr>
    </w:p>
    <w:p w:rsidR="00E24682" w:rsidRDefault="00E24682" w:rsidP="005728E4">
      <w:pPr>
        <w:pStyle w:val="a7"/>
        <w:ind w:left="360"/>
        <w:jc w:val="both"/>
        <w:rPr>
          <w:szCs w:val="20"/>
          <w:lang w:val="uk-UA"/>
        </w:rPr>
      </w:pPr>
    </w:p>
    <w:p w:rsidR="009E34C5" w:rsidRDefault="009E34C5" w:rsidP="005728E4">
      <w:pPr>
        <w:pStyle w:val="a7"/>
        <w:ind w:left="360"/>
        <w:jc w:val="both"/>
        <w:rPr>
          <w:szCs w:val="20"/>
          <w:lang w:val="uk-UA"/>
        </w:rPr>
      </w:pPr>
    </w:p>
    <w:p w:rsidR="00C07F97" w:rsidRPr="001E734C" w:rsidRDefault="00C07F97" w:rsidP="001E734C">
      <w:pPr>
        <w:pStyle w:val="a7"/>
        <w:numPr>
          <w:ilvl w:val="0"/>
          <w:numId w:val="14"/>
        </w:numPr>
        <w:jc w:val="both"/>
        <w:rPr>
          <w:b/>
          <w:szCs w:val="20"/>
          <w:lang w:val="uk-UA"/>
        </w:rPr>
      </w:pPr>
      <w:r w:rsidRPr="001E734C">
        <w:rPr>
          <w:b/>
          <w:szCs w:val="20"/>
          <w:lang w:val="uk-UA"/>
        </w:rPr>
        <w:t>Формат надання дотацій</w:t>
      </w:r>
    </w:p>
    <w:p w:rsidR="00C07F97" w:rsidRDefault="00C07F97" w:rsidP="00C07F97">
      <w:pPr>
        <w:jc w:val="both"/>
        <w:rPr>
          <w:b/>
          <w:szCs w:val="20"/>
          <w:lang w:val="uk-UA"/>
        </w:rPr>
      </w:pPr>
    </w:p>
    <w:p w:rsidR="009E34C5" w:rsidRDefault="009E34C5" w:rsidP="00C07F97">
      <w:pPr>
        <w:jc w:val="both"/>
        <w:rPr>
          <w:b/>
          <w:szCs w:val="20"/>
          <w:lang w:val="uk-UA"/>
        </w:rPr>
      </w:pPr>
    </w:p>
    <w:p w:rsidR="00037BC0" w:rsidRPr="00C8716D" w:rsidRDefault="00037BC0" w:rsidP="00C8716D">
      <w:pPr>
        <w:pStyle w:val="a7"/>
        <w:numPr>
          <w:ilvl w:val="1"/>
          <w:numId w:val="14"/>
        </w:numPr>
        <w:jc w:val="both"/>
        <w:rPr>
          <w:i/>
          <w:szCs w:val="20"/>
          <w:lang w:val="uk-UA"/>
        </w:rPr>
      </w:pPr>
      <w:r w:rsidRPr="00C8716D">
        <w:rPr>
          <w:i/>
          <w:szCs w:val="20"/>
          <w:lang w:val="uk-UA"/>
        </w:rPr>
        <w:t xml:space="preserve">Державні програми </w:t>
      </w:r>
    </w:p>
    <w:p w:rsidR="00037BC0" w:rsidRDefault="00037BC0" w:rsidP="00C07F97">
      <w:pPr>
        <w:jc w:val="both"/>
        <w:rPr>
          <w:szCs w:val="20"/>
          <w:lang w:val="uk-UA"/>
        </w:rPr>
      </w:pPr>
    </w:p>
    <w:p w:rsidR="00C07F97" w:rsidRDefault="00C07F97" w:rsidP="00C07F97">
      <w:pPr>
        <w:jc w:val="both"/>
        <w:rPr>
          <w:szCs w:val="20"/>
          <w:lang w:val="uk-UA"/>
        </w:rPr>
      </w:pPr>
      <w:r w:rsidRPr="00C07F97">
        <w:rPr>
          <w:szCs w:val="20"/>
          <w:lang w:val="uk-UA"/>
        </w:rPr>
        <w:t>Д</w:t>
      </w:r>
      <w:r>
        <w:rPr>
          <w:szCs w:val="20"/>
          <w:lang w:val="uk-UA"/>
        </w:rPr>
        <w:t>о</w:t>
      </w:r>
      <w:r w:rsidRPr="00C07F97">
        <w:rPr>
          <w:szCs w:val="20"/>
          <w:lang w:val="uk-UA"/>
        </w:rPr>
        <w:t>тації</w:t>
      </w:r>
      <w:r>
        <w:rPr>
          <w:szCs w:val="20"/>
          <w:lang w:val="uk-UA"/>
        </w:rPr>
        <w:t xml:space="preserve"> малому та середньому сільгоспвиробнику надаються в рамках Державних програм надання дотацій малим та середнім сільгоспвиробникам, які фіксують напрям надання дотації, </w:t>
      </w:r>
      <w:r w:rsidR="00674D8E">
        <w:rPr>
          <w:szCs w:val="20"/>
          <w:lang w:val="uk-UA"/>
        </w:rPr>
        <w:t xml:space="preserve">термін дії програми, </w:t>
      </w:r>
      <w:r>
        <w:rPr>
          <w:szCs w:val="20"/>
          <w:lang w:val="uk-UA"/>
        </w:rPr>
        <w:t xml:space="preserve">загальну </w:t>
      </w:r>
      <w:r w:rsidR="00674D8E">
        <w:rPr>
          <w:szCs w:val="20"/>
          <w:lang w:val="uk-UA"/>
        </w:rPr>
        <w:t xml:space="preserve">річну </w:t>
      </w:r>
      <w:r>
        <w:rPr>
          <w:szCs w:val="20"/>
          <w:lang w:val="uk-UA"/>
        </w:rPr>
        <w:t>суму і діапазон коштів, доступних для одного суб‘єкта отримання дотації.</w:t>
      </w:r>
    </w:p>
    <w:p w:rsidR="00C07F97" w:rsidRDefault="00C07F97" w:rsidP="00C07F97">
      <w:pPr>
        <w:jc w:val="both"/>
        <w:rPr>
          <w:szCs w:val="20"/>
          <w:lang w:val="uk-UA"/>
        </w:rPr>
      </w:pPr>
    </w:p>
    <w:p w:rsidR="00C7559E" w:rsidRDefault="00C7559E" w:rsidP="00C7559E">
      <w:pPr>
        <w:jc w:val="both"/>
        <w:rPr>
          <w:szCs w:val="20"/>
          <w:lang w:val="uk-UA"/>
        </w:rPr>
      </w:pPr>
      <w:r w:rsidRPr="0041558D">
        <w:rPr>
          <w:szCs w:val="20"/>
          <w:lang w:val="uk-UA"/>
        </w:rPr>
        <w:t xml:space="preserve">Дотації </w:t>
      </w:r>
      <w:r>
        <w:rPr>
          <w:szCs w:val="20"/>
          <w:lang w:val="uk-UA"/>
        </w:rPr>
        <w:t xml:space="preserve">в рамках державних програм </w:t>
      </w:r>
      <w:r w:rsidRPr="0041558D">
        <w:rPr>
          <w:szCs w:val="20"/>
          <w:lang w:val="uk-UA"/>
        </w:rPr>
        <w:t xml:space="preserve">надаються в </w:t>
      </w:r>
      <w:r>
        <w:rPr>
          <w:szCs w:val="20"/>
          <w:lang w:val="uk-UA"/>
        </w:rPr>
        <w:t xml:space="preserve">таких </w:t>
      </w:r>
      <w:r w:rsidRPr="0041558D">
        <w:rPr>
          <w:szCs w:val="20"/>
          <w:lang w:val="uk-UA"/>
        </w:rPr>
        <w:t>основних напрямах:</w:t>
      </w:r>
    </w:p>
    <w:p w:rsidR="00C7559E" w:rsidRPr="0041558D" w:rsidRDefault="00C7559E" w:rsidP="00C7559E">
      <w:pPr>
        <w:jc w:val="both"/>
        <w:rPr>
          <w:szCs w:val="20"/>
          <w:lang w:val="uk-UA"/>
        </w:rPr>
      </w:pPr>
    </w:p>
    <w:p w:rsidR="00C7559E" w:rsidRDefault="00C7559E" w:rsidP="00C7559E">
      <w:pPr>
        <w:pStyle w:val="a7"/>
        <w:numPr>
          <w:ilvl w:val="0"/>
          <w:numId w:val="9"/>
        </w:numPr>
        <w:jc w:val="both"/>
        <w:rPr>
          <w:szCs w:val="20"/>
          <w:lang w:val="uk-UA"/>
        </w:rPr>
      </w:pPr>
      <w:r w:rsidRPr="0041558D">
        <w:rPr>
          <w:szCs w:val="20"/>
          <w:lang w:val="uk-UA"/>
        </w:rPr>
        <w:t xml:space="preserve">на </w:t>
      </w:r>
      <w:r>
        <w:rPr>
          <w:szCs w:val="20"/>
          <w:lang w:val="uk-UA"/>
        </w:rPr>
        <w:t>підтримку поточного циклу виробничого процесу сільгоспвиробника</w:t>
      </w:r>
    </w:p>
    <w:p w:rsidR="00C7559E" w:rsidRDefault="00C7559E" w:rsidP="00C7559E">
      <w:pPr>
        <w:pStyle w:val="a7"/>
        <w:numPr>
          <w:ilvl w:val="0"/>
          <w:numId w:val="9"/>
        </w:numPr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 розвиток активів сільгоспвиробника </w:t>
      </w:r>
    </w:p>
    <w:p w:rsidR="003F33F2" w:rsidRDefault="003F33F2" w:rsidP="00C7559E">
      <w:pPr>
        <w:pStyle w:val="a7"/>
        <w:numPr>
          <w:ilvl w:val="0"/>
          <w:numId w:val="9"/>
        </w:numPr>
        <w:jc w:val="both"/>
        <w:rPr>
          <w:szCs w:val="20"/>
          <w:lang w:val="uk-UA"/>
        </w:rPr>
      </w:pPr>
      <w:r>
        <w:rPr>
          <w:szCs w:val="20"/>
          <w:lang w:val="uk-UA"/>
        </w:rPr>
        <w:t>на розвиток сервісної інфраструктури</w:t>
      </w:r>
    </w:p>
    <w:p w:rsidR="00C7559E" w:rsidRDefault="00C7559E" w:rsidP="00C7559E">
      <w:pPr>
        <w:pStyle w:val="a7"/>
        <w:numPr>
          <w:ilvl w:val="0"/>
          <w:numId w:val="9"/>
        </w:numPr>
        <w:jc w:val="both"/>
        <w:rPr>
          <w:szCs w:val="20"/>
          <w:lang w:val="uk-UA"/>
        </w:rPr>
      </w:pPr>
      <w:r>
        <w:rPr>
          <w:szCs w:val="20"/>
          <w:lang w:val="uk-UA"/>
        </w:rPr>
        <w:t>на розвиток сільських територій</w:t>
      </w:r>
    </w:p>
    <w:p w:rsidR="009E34C5" w:rsidRDefault="009E34C5">
      <w:pPr>
        <w:spacing w:after="200" w:line="276" w:lineRule="auto"/>
        <w:rPr>
          <w:i/>
          <w:szCs w:val="20"/>
          <w:lang w:val="uk-UA"/>
        </w:rPr>
      </w:pPr>
      <w:r>
        <w:rPr>
          <w:i/>
          <w:szCs w:val="20"/>
          <w:lang w:val="uk-UA"/>
        </w:rPr>
        <w:br w:type="page"/>
      </w:r>
    </w:p>
    <w:p w:rsidR="00C7559E" w:rsidRDefault="00C7559E" w:rsidP="00C07F97">
      <w:pPr>
        <w:jc w:val="both"/>
        <w:rPr>
          <w:i/>
          <w:szCs w:val="20"/>
          <w:lang w:val="uk-UA"/>
        </w:rPr>
      </w:pPr>
    </w:p>
    <w:p w:rsidR="00037BC0" w:rsidRPr="00C8716D" w:rsidRDefault="00C7559E" w:rsidP="00C8716D">
      <w:pPr>
        <w:pStyle w:val="a7"/>
        <w:numPr>
          <w:ilvl w:val="1"/>
          <w:numId w:val="16"/>
        </w:numPr>
        <w:jc w:val="both"/>
        <w:rPr>
          <w:i/>
          <w:szCs w:val="20"/>
          <w:lang w:val="uk-UA"/>
        </w:rPr>
      </w:pPr>
      <w:r w:rsidRPr="00C8716D">
        <w:rPr>
          <w:i/>
          <w:szCs w:val="20"/>
          <w:lang w:val="uk-UA"/>
        </w:rPr>
        <w:t>Податковий кредит</w:t>
      </w:r>
      <w:r w:rsidR="00E22F89" w:rsidRPr="00C8716D">
        <w:rPr>
          <w:i/>
          <w:szCs w:val="20"/>
          <w:lang w:val="uk-UA"/>
        </w:rPr>
        <w:t>***</w:t>
      </w:r>
      <w:r w:rsidRPr="00C8716D">
        <w:rPr>
          <w:i/>
          <w:szCs w:val="20"/>
          <w:lang w:val="uk-UA"/>
        </w:rPr>
        <w:t xml:space="preserve"> </w:t>
      </w:r>
    </w:p>
    <w:p w:rsidR="00037BC0" w:rsidRDefault="00037BC0" w:rsidP="00C07F97">
      <w:pPr>
        <w:jc w:val="both"/>
        <w:rPr>
          <w:szCs w:val="20"/>
          <w:lang w:val="uk-UA"/>
        </w:rPr>
      </w:pPr>
    </w:p>
    <w:p w:rsidR="00C7559E" w:rsidRDefault="00C07F97" w:rsidP="00C07F97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Державні дотації </w:t>
      </w:r>
      <w:r w:rsidR="00C7559E">
        <w:rPr>
          <w:szCs w:val="20"/>
          <w:lang w:val="uk-UA"/>
        </w:rPr>
        <w:t>на підтримку поточного виробничого циклу (</w:t>
      </w:r>
      <w:r>
        <w:rPr>
          <w:szCs w:val="20"/>
          <w:lang w:val="uk-UA"/>
        </w:rPr>
        <w:t>за визначеним напрямом у визначеній сумі</w:t>
      </w:r>
      <w:r w:rsidR="00C7559E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надаються шляхом формування податкового кредиту – загальної суми, на яку платник податків може скоригувати власні податкові зобов‘язання </w:t>
      </w:r>
      <w:r w:rsidR="004273F8">
        <w:rPr>
          <w:szCs w:val="20"/>
          <w:lang w:val="uk-UA"/>
        </w:rPr>
        <w:t xml:space="preserve">(податок на доходи фізичних осіб, на прибуток підприємства, ПДВ (збільшення кредиту), єдиний податок) </w:t>
      </w:r>
      <w:r>
        <w:rPr>
          <w:szCs w:val="20"/>
          <w:lang w:val="uk-UA"/>
        </w:rPr>
        <w:t xml:space="preserve">протягом визначеного терміну. </w:t>
      </w:r>
    </w:p>
    <w:p w:rsidR="00C7559E" w:rsidRDefault="00C7559E" w:rsidP="00C07F97">
      <w:pPr>
        <w:jc w:val="both"/>
        <w:rPr>
          <w:szCs w:val="20"/>
          <w:lang w:val="uk-UA"/>
        </w:rPr>
      </w:pPr>
    </w:p>
    <w:p w:rsidR="00C07F97" w:rsidRDefault="00C07F97" w:rsidP="00C07F97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Для підтвердження цільового використання коштів використовується інформація від </w:t>
      </w:r>
      <w:r w:rsidR="003F33F2">
        <w:rPr>
          <w:szCs w:val="20"/>
          <w:lang w:val="uk-UA"/>
        </w:rPr>
        <w:t>бухгалтерії підприємства та банка (про здійснен</w:t>
      </w:r>
      <w:r w:rsidR="00336C07">
        <w:rPr>
          <w:szCs w:val="20"/>
          <w:lang w:val="uk-UA"/>
        </w:rPr>
        <w:t>я</w:t>
      </w:r>
      <w:r w:rsidR="003F33F2">
        <w:rPr>
          <w:szCs w:val="20"/>
          <w:lang w:val="uk-UA"/>
        </w:rPr>
        <w:t xml:space="preserve"> проплат, зустрічна інформація), </w:t>
      </w:r>
      <w:r>
        <w:rPr>
          <w:szCs w:val="20"/>
          <w:lang w:val="uk-UA"/>
        </w:rPr>
        <w:t xml:space="preserve">органів </w:t>
      </w:r>
      <w:r w:rsidR="00674D8E">
        <w:rPr>
          <w:szCs w:val="20"/>
          <w:lang w:val="uk-UA"/>
        </w:rPr>
        <w:t>міс</w:t>
      </w:r>
      <w:r w:rsidR="003F33F2">
        <w:rPr>
          <w:szCs w:val="20"/>
          <w:lang w:val="uk-UA"/>
        </w:rPr>
        <w:t xml:space="preserve">цевого самоврядування, </w:t>
      </w:r>
      <w:r w:rsidR="00674D8E">
        <w:rPr>
          <w:szCs w:val="20"/>
          <w:lang w:val="uk-UA"/>
        </w:rPr>
        <w:t xml:space="preserve">місцевих </w:t>
      </w:r>
      <w:r>
        <w:rPr>
          <w:szCs w:val="20"/>
          <w:lang w:val="uk-UA"/>
        </w:rPr>
        <w:t>податкових органів</w:t>
      </w:r>
      <w:r w:rsidR="003F33F2">
        <w:rPr>
          <w:szCs w:val="20"/>
          <w:lang w:val="uk-UA"/>
        </w:rPr>
        <w:t xml:space="preserve"> (нагляд за цільовим використанням коштів)</w:t>
      </w:r>
      <w:r w:rsidR="00674D8E">
        <w:rPr>
          <w:szCs w:val="20"/>
          <w:lang w:val="uk-UA"/>
        </w:rPr>
        <w:t>.</w:t>
      </w:r>
      <w:r>
        <w:rPr>
          <w:szCs w:val="20"/>
          <w:lang w:val="uk-UA"/>
        </w:rPr>
        <w:t xml:space="preserve"> </w:t>
      </w:r>
    </w:p>
    <w:p w:rsidR="00190293" w:rsidRDefault="00190293" w:rsidP="00C07F97">
      <w:pPr>
        <w:jc w:val="both"/>
        <w:rPr>
          <w:szCs w:val="20"/>
          <w:lang w:val="uk-UA"/>
        </w:rPr>
      </w:pPr>
    </w:p>
    <w:p w:rsidR="00E22F89" w:rsidRDefault="00E22F89" w:rsidP="006C59E8">
      <w:pPr>
        <w:jc w:val="both"/>
        <w:rPr>
          <w:sz w:val="18"/>
          <w:szCs w:val="18"/>
          <w:lang w:val="uk-UA"/>
        </w:rPr>
      </w:pPr>
      <w:r w:rsidRPr="0041558D">
        <w:rPr>
          <w:sz w:val="18"/>
          <w:szCs w:val="18"/>
          <w:lang w:val="uk-UA"/>
        </w:rPr>
        <w:t>**</w:t>
      </w:r>
      <w:r>
        <w:rPr>
          <w:sz w:val="18"/>
          <w:szCs w:val="18"/>
          <w:lang w:val="uk-UA"/>
        </w:rPr>
        <w:t>*</w:t>
      </w:r>
      <w:r w:rsidRPr="0041558D">
        <w:rPr>
          <w:sz w:val="18"/>
          <w:szCs w:val="18"/>
          <w:lang w:val="uk-UA"/>
        </w:rPr>
        <w:t xml:space="preserve"> </w:t>
      </w:r>
      <w:r w:rsidR="001D507B">
        <w:rPr>
          <w:sz w:val="18"/>
          <w:szCs w:val="18"/>
          <w:lang w:val="uk-UA"/>
        </w:rPr>
        <w:t>надання податкового кредиту є прямою дотацією, оскільки передбачає адресність компенсації витрат і фіксований розмір дотації (реально здійснені витрати підприємства, підтверджені банківською випискою).</w:t>
      </w:r>
    </w:p>
    <w:p w:rsidR="001D507B" w:rsidRDefault="001D507B" w:rsidP="006C59E8">
      <w:pPr>
        <w:jc w:val="both"/>
        <w:rPr>
          <w:sz w:val="18"/>
          <w:szCs w:val="18"/>
          <w:lang w:val="uk-UA"/>
        </w:rPr>
      </w:pPr>
    </w:p>
    <w:p w:rsidR="00E22F89" w:rsidRDefault="00E22F89" w:rsidP="006C59E8">
      <w:pPr>
        <w:jc w:val="both"/>
        <w:rPr>
          <w:sz w:val="18"/>
          <w:szCs w:val="18"/>
          <w:lang w:val="uk-UA"/>
        </w:rPr>
      </w:pPr>
    </w:p>
    <w:p w:rsidR="006C59E8" w:rsidRPr="00C8716D" w:rsidRDefault="006C59E8" w:rsidP="00C8716D">
      <w:pPr>
        <w:pStyle w:val="a7"/>
        <w:numPr>
          <w:ilvl w:val="1"/>
          <w:numId w:val="16"/>
        </w:numPr>
        <w:jc w:val="both"/>
        <w:rPr>
          <w:i/>
          <w:szCs w:val="20"/>
          <w:lang w:val="uk-UA"/>
        </w:rPr>
      </w:pPr>
      <w:r w:rsidRPr="00C8716D">
        <w:rPr>
          <w:i/>
          <w:szCs w:val="20"/>
          <w:lang w:val="uk-UA"/>
        </w:rPr>
        <w:t>К</w:t>
      </w:r>
      <w:r w:rsidR="00240C91" w:rsidRPr="00C8716D">
        <w:rPr>
          <w:i/>
          <w:szCs w:val="20"/>
          <w:lang w:val="uk-UA"/>
        </w:rPr>
        <w:t>редити***</w:t>
      </w:r>
      <w:r w:rsidR="00E22F89" w:rsidRPr="00C8716D">
        <w:rPr>
          <w:i/>
          <w:szCs w:val="20"/>
          <w:lang w:val="uk-UA"/>
        </w:rPr>
        <w:t>*</w:t>
      </w:r>
    </w:p>
    <w:p w:rsidR="006C59E8" w:rsidRDefault="006C59E8" w:rsidP="00C07F97">
      <w:pPr>
        <w:jc w:val="both"/>
        <w:rPr>
          <w:szCs w:val="20"/>
          <w:lang w:val="uk-UA"/>
        </w:rPr>
      </w:pPr>
    </w:p>
    <w:p w:rsidR="006C59E8" w:rsidRDefault="00AD6051" w:rsidP="00C07F97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>Оскільки розмір ставок за кредитами в українській банківській системі</w:t>
      </w:r>
      <w:r w:rsidR="00240C91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залежить</w:t>
      </w:r>
      <w:r w:rsidR="00240C91">
        <w:rPr>
          <w:szCs w:val="20"/>
          <w:lang w:val="uk-UA"/>
        </w:rPr>
        <w:t xml:space="preserve">, перш за все, </w:t>
      </w:r>
      <w:r>
        <w:rPr>
          <w:szCs w:val="20"/>
          <w:lang w:val="uk-UA"/>
        </w:rPr>
        <w:t xml:space="preserve">від вартості залучених грошей (до 20%) і на прикладі запровадження використання векселів банки вже продемонстрували, що здатні і готові кредитувати аграрний сектор під адекватний відсоток (до 7%), то надання безкоштовних </w:t>
      </w:r>
      <w:r w:rsidR="00240C91">
        <w:rPr>
          <w:szCs w:val="20"/>
          <w:lang w:val="uk-UA"/>
        </w:rPr>
        <w:t xml:space="preserve">фінансових </w:t>
      </w:r>
      <w:r>
        <w:rPr>
          <w:szCs w:val="20"/>
          <w:lang w:val="uk-UA"/>
        </w:rPr>
        <w:t xml:space="preserve">ресурсів </w:t>
      </w:r>
      <w:r w:rsidR="00240C91">
        <w:rPr>
          <w:szCs w:val="20"/>
          <w:lang w:val="uk-UA"/>
        </w:rPr>
        <w:t xml:space="preserve">банкам, в тому числі і в першу чергу </w:t>
      </w:r>
      <w:r>
        <w:rPr>
          <w:szCs w:val="20"/>
          <w:lang w:val="uk-UA"/>
        </w:rPr>
        <w:t>ПАТ "Державний земельний банк"</w:t>
      </w:r>
      <w:r w:rsidR="00240C91">
        <w:rPr>
          <w:szCs w:val="20"/>
          <w:lang w:val="uk-UA"/>
        </w:rPr>
        <w:t>,</w:t>
      </w:r>
      <w:r>
        <w:rPr>
          <w:szCs w:val="20"/>
          <w:lang w:val="uk-UA"/>
        </w:rPr>
        <w:t xml:space="preserve"> для кредитування малого і середнього бізнесу надає можливість </w:t>
      </w:r>
      <w:r w:rsidR="00240C91">
        <w:rPr>
          <w:szCs w:val="20"/>
          <w:lang w:val="uk-UA"/>
        </w:rPr>
        <w:t>забезпечити надання кредитів малим та середнім сільськогосподарським підприємствам.</w:t>
      </w:r>
    </w:p>
    <w:p w:rsidR="00DA1930" w:rsidRDefault="00DA1930" w:rsidP="00C07F97">
      <w:pPr>
        <w:jc w:val="both"/>
        <w:rPr>
          <w:szCs w:val="20"/>
          <w:lang w:val="uk-UA"/>
        </w:rPr>
      </w:pPr>
    </w:p>
    <w:p w:rsidR="00DA1930" w:rsidRDefault="00DA1930" w:rsidP="00C07F97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>Також держава повинна забезпечити контроль за розміром ставок кредитування малого та середнього бізнесу на селі, яке відбувається за рахунок коштів, наданих міжнародними фінансовими організаціями під незначний процент (3-5%).</w:t>
      </w:r>
    </w:p>
    <w:p w:rsidR="00240C91" w:rsidRDefault="00240C91" w:rsidP="00C07F97">
      <w:pPr>
        <w:jc w:val="both"/>
        <w:rPr>
          <w:szCs w:val="20"/>
          <w:lang w:val="uk-UA"/>
        </w:rPr>
      </w:pPr>
    </w:p>
    <w:p w:rsidR="00240C91" w:rsidRDefault="00240C91" w:rsidP="00C07F97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Кредити </w:t>
      </w:r>
      <w:r w:rsidR="00DA1930">
        <w:rPr>
          <w:szCs w:val="20"/>
          <w:lang w:val="uk-UA"/>
        </w:rPr>
        <w:t xml:space="preserve">банками </w:t>
      </w:r>
      <w:r>
        <w:rPr>
          <w:szCs w:val="20"/>
          <w:lang w:val="uk-UA"/>
        </w:rPr>
        <w:t>можуть надаватися як на підтримку поточного циклу виробництва (поповнення обігових коштів)</w:t>
      </w:r>
      <w:r w:rsidR="00DA1930">
        <w:rPr>
          <w:szCs w:val="20"/>
          <w:lang w:val="uk-UA"/>
        </w:rPr>
        <w:t>,</w:t>
      </w:r>
      <w:r>
        <w:rPr>
          <w:szCs w:val="20"/>
          <w:lang w:val="uk-UA"/>
        </w:rPr>
        <w:t xml:space="preserve"> так і на розвиток активів (довгострокове кредитування).</w:t>
      </w:r>
    </w:p>
    <w:p w:rsidR="00240C91" w:rsidRDefault="00240C91" w:rsidP="00C07F97">
      <w:pPr>
        <w:jc w:val="both"/>
        <w:rPr>
          <w:szCs w:val="20"/>
          <w:lang w:val="uk-UA"/>
        </w:rPr>
      </w:pPr>
    </w:p>
    <w:p w:rsidR="00240C91" w:rsidRPr="0041558D" w:rsidRDefault="00240C91" w:rsidP="00240C91">
      <w:pPr>
        <w:jc w:val="both"/>
        <w:rPr>
          <w:sz w:val="18"/>
          <w:szCs w:val="18"/>
          <w:lang w:val="uk-UA"/>
        </w:rPr>
      </w:pPr>
      <w:r w:rsidRPr="0041558D">
        <w:rPr>
          <w:sz w:val="18"/>
          <w:szCs w:val="18"/>
          <w:lang w:val="uk-UA"/>
        </w:rPr>
        <w:t>**</w:t>
      </w:r>
      <w:r>
        <w:rPr>
          <w:sz w:val="18"/>
          <w:szCs w:val="18"/>
          <w:lang w:val="uk-UA"/>
        </w:rPr>
        <w:t>*</w:t>
      </w:r>
      <w:r w:rsidR="00E22F89">
        <w:rPr>
          <w:sz w:val="18"/>
          <w:szCs w:val="18"/>
          <w:lang w:val="uk-UA"/>
        </w:rPr>
        <w:t>*</w:t>
      </w:r>
      <w:r w:rsidRPr="0041558D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розглядається лише можливість кредитування на основі отримання банками безкоштовних </w:t>
      </w:r>
      <w:r w:rsidR="00DA1930">
        <w:rPr>
          <w:sz w:val="18"/>
          <w:szCs w:val="18"/>
          <w:lang w:val="uk-UA"/>
        </w:rPr>
        <w:t xml:space="preserve">та дешевих </w:t>
      </w:r>
      <w:r>
        <w:rPr>
          <w:sz w:val="18"/>
          <w:szCs w:val="18"/>
          <w:lang w:val="uk-UA"/>
        </w:rPr>
        <w:t xml:space="preserve">фінансових ресурсів, </w:t>
      </w:r>
      <w:r w:rsidRPr="0041558D">
        <w:rPr>
          <w:sz w:val="18"/>
          <w:szCs w:val="18"/>
          <w:lang w:val="uk-UA"/>
        </w:rPr>
        <w:t>здешевлення кредитів не розглядається як таке, що за рахунок необґрунтованого розміру кредитних ставок спрямоване на підтримку банківської сфери, а не товар</w:t>
      </w:r>
      <w:r>
        <w:rPr>
          <w:sz w:val="18"/>
          <w:szCs w:val="18"/>
          <w:lang w:val="uk-UA"/>
        </w:rPr>
        <w:t>о</w:t>
      </w:r>
      <w:r w:rsidRPr="0041558D">
        <w:rPr>
          <w:sz w:val="18"/>
          <w:szCs w:val="18"/>
          <w:lang w:val="uk-UA"/>
        </w:rPr>
        <w:t>виробника</w:t>
      </w:r>
    </w:p>
    <w:p w:rsidR="00240C91" w:rsidRDefault="00240C91" w:rsidP="00C07F97">
      <w:pPr>
        <w:jc w:val="both"/>
        <w:rPr>
          <w:szCs w:val="20"/>
          <w:lang w:val="uk-UA"/>
        </w:rPr>
      </w:pPr>
    </w:p>
    <w:p w:rsidR="002C5C59" w:rsidRDefault="002C5C59" w:rsidP="004C7CAB">
      <w:pPr>
        <w:jc w:val="both"/>
        <w:rPr>
          <w:i/>
          <w:szCs w:val="20"/>
          <w:lang w:val="uk-UA"/>
        </w:rPr>
      </w:pPr>
    </w:p>
    <w:p w:rsidR="004C7CAB" w:rsidRPr="00C8716D" w:rsidRDefault="004C7CAB" w:rsidP="00C8716D">
      <w:pPr>
        <w:pStyle w:val="a7"/>
        <w:numPr>
          <w:ilvl w:val="1"/>
          <w:numId w:val="16"/>
        </w:numPr>
        <w:jc w:val="both"/>
        <w:rPr>
          <w:i/>
          <w:szCs w:val="20"/>
          <w:lang w:val="uk-UA"/>
        </w:rPr>
      </w:pPr>
      <w:r w:rsidRPr="00C8716D">
        <w:rPr>
          <w:i/>
          <w:szCs w:val="20"/>
          <w:lang w:val="uk-UA"/>
        </w:rPr>
        <w:t>Адр</w:t>
      </w:r>
      <w:r w:rsidR="002C5C59" w:rsidRPr="00C8716D">
        <w:rPr>
          <w:i/>
          <w:szCs w:val="20"/>
          <w:lang w:val="uk-UA"/>
        </w:rPr>
        <w:t>есати дотацій</w:t>
      </w:r>
    </w:p>
    <w:p w:rsidR="004C7CAB" w:rsidRDefault="004C7CAB" w:rsidP="004C7CAB">
      <w:pPr>
        <w:jc w:val="both"/>
        <w:rPr>
          <w:szCs w:val="20"/>
          <w:lang w:val="uk-UA"/>
        </w:rPr>
      </w:pPr>
    </w:p>
    <w:p w:rsidR="004C7CAB" w:rsidRDefault="004C7CAB" w:rsidP="004C7CAB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Надання дотацій нерозривно пов‘язане з розвитком сервісної інфраструктури малого та середнього виробництва на селі. </w:t>
      </w:r>
    </w:p>
    <w:p w:rsidR="004C7CAB" w:rsidRDefault="004C7CAB" w:rsidP="004C7CAB">
      <w:pPr>
        <w:jc w:val="both"/>
        <w:rPr>
          <w:szCs w:val="20"/>
          <w:lang w:val="uk-UA"/>
        </w:rPr>
      </w:pPr>
    </w:p>
    <w:p w:rsidR="004C7CAB" w:rsidRDefault="004C7CAB" w:rsidP="004C7CAB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>Дотації надаються виключно членам організованих форм співробітництва малих та середніх сільгосп</w:t>
      </w:r>
      <w:r w:rsidR="00F53BC8">
        <w:rPr>
          <w:szCs w:val="20"/>
          <w:lang w:val="uk-UA"/>
        </w:rPr>
        <w:t>виробників</w:t>
      </w:r>
      <w:r>
        <w:rPr>
          <w:szCs w:val="20"/>
          <w:lang w:val="uk-UA"/>
        </w:rPr>
        <w:t xml:space="preserve">: кооперативу (обслуговуючий, споживчий) у разі скасування оподаткування операцій кооперативу зі своїми членами </w:t>
      </w:r>
      <w:r w:rsidR="00914893">
        <w:rPr>
          <w:szCs w:val="20"/>
          <w:lang w:val="uk-UA"/>
        </w:rPr>
        <w:t>та/</w:t>
      </w:r>
      <w:r w:rsidR="008913F8">
        <w:rPr>
          <w:szCs w:val="20"/>
          <w:lang w:val="uk-UA"/>
        </w:rPr>
        <w:t xml:space="preserve">або </w:t>
      </w:r>
      <w:r>
        <w:rPr>
          <w:szCs w:val="20"/>
          <w:lang w:val="uk-UA"/>
        </w:rPr>
        <w:t xml:space="preserve">кожному члену групи малих та/або середніх сільгоспвиробників (не менше 3 суб‘єктів господарювання), які уклали між собою договір про спільну діяльність, стали користувачами послуг аналітичного центру, дорадчої служби, </w:t>
      </w:r>
      <w:r w:rsidR="00914893">
        <w:rPr>
          <w:szCs w:val="20"/>
          <w:lang w:val="uk-UA"/>
        </w:rPr>
        <w:t xml:space="preserve">експортного агентства, </w:t>
      </w:r>
      <w:r>
        <w:rPr>
          <w:szCs w:val="20"/>
          <w:lang w:val="uk-UA"/>
        </w:rPr>
        <w:t>об‘єдналися в саморегулівну</w:t>
      </w:r>
      <w:r w:rsidR="00576A57">
        <w:rPr>
          <w:szCs w:val="20"/>
          <w:lang w:val="uk-UA"/>
        </w:rPr>
        <w:t xml:space="preserve"> або громадську </w:t>
      </w:r>
      <w:r>
        <w:rPr>
          <w:szCs w:val="20"/>
          <w:lang w:val="uk-UA"/>
        </w:rPr>
        <w:t>організацію.</w:t>
      </w:r>
    </w:p>
    <w:p w:rsidR="00240C91" w:rsidRDefault="00240C91" w:rsidP="00C07F97">
      <w:pPr>
        <w:jc w:val="both"/>
        <w:rPr>
          <w:szCs w:val="20"/>
          <w:lang w:val="uk-UA"/>
        </w:rPr>
      </w:pPr>
    </w:p>
    <w:p w:rsidR="002C5C59" w:rsidRDefault="002C5C59" w:rsidP="00C07F97">
      <w:pPr>
        <w:jc w:val="both"/>
        <w:rPr>
          <w:i/>
          <w:szCs w:val="20"/>
          <w:lang w:val="uk-UA"/>
        </w:rPr>
      </w:pPr>
    </w:p>
    <w:p w:rsidR="006C59E8" w:rsidRPr="00C8716D" w:rsidRDefault="006C59E8" w:rsidP="00C8716D">
      <w:pPr>
        <w:pStyle w:val="a7"/>
        <w:numPr>
          <w:ilvl w:val="1"/>
          <w:numId w:val="16"/>
        </w:numPr>
        <w:jc w:val="both"/>
        <w:rPr>
          <w:i/>
          <w:szCs w:val="20"/>
          <w:lang w:val="uk-UA"/>
        </w:rPr>
      </w:pPr>
      <w:r w:rsidRPr="00C8716D">
        <w:rPr>
          <w:i/>
          <w:szCs w:val="20"/>
          <w:lang w:val="uk-UA"/>
        </w:rPr>
        <w:t>Доступність та прозорість дотацій</w:t>
      </w:r>
    </w:p>
    <w:p w:rsidR="006C59E8" w:rsidRDefault="006C59E8" w:rsidP="00C07F97">
      <w:pPr>
        <w:jc w:val="both"/>
        <w:rPr>
          <w:szCs w:val="20"/>
          <w:lang w:val="uk-UA"/>
        </w:rPr>
      </w:pPr>
    </w:p>
    <w:p w:rsidR="005D1F3A" w:rsidRDefault="005D1F3A" w:rsidP="00C07F97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>З огляду на обмеженість сум, передбачених програмами дотацій, надання дотацій здійснюється за принципом "перший прийшов – перший отримав" (дата подання заявки завіряється в нотаріальному порядку).</w:t>
      </w:r>
      <w:r w:rsidR="006C59E8">
        <w:rPr>
          <w:szCs w:val="20"/>
          <w:lang w:val="uk-UA"/>
        </w:rPr>
        <w:t xml:space="preserve"> Подання про призначення дотації фіксується у відкритому реєстрі.</w:t>
      </w:r>
    </w:p>
    <w:p w:rsidR="00674D8E" w:rsidRDefault="00674D8E" w:rsidP="00C07F97">
      <w:pPr>
        <w:jc w:val="both"/>
        <w:rPr>
          <w:szCs w:val="20"/>
          <w:lang w:val="uk-UA"/>
        </w:rPr>
      </w:pPr>
    </w:p>
    <w:p w:rsidR="009E34C5" w:rsidRDefault="009E34C5">
      <w:pPr>
        <w:spacing w:after="200" w:line="276" w:lineRule="auto"/>
        <w:rPr>
          <w:szCs w:val="20"/>
          <w:lang w:val="uk-UA"/>
        </w:rPr>
      </w:pPr>
      <w:r>
        <w:rPr>
          <w:szCs w:val="20"/>
          <w:lang w:val="uk-UA"/>
        </w:rPr>
        <w:br w:type="page"/>
      </w:r>
    </w:p>
    <w:p w:rsidR="00674D8E" w:rsidRDefault="00674D8E" w:rsidP="00C07F97">
      <w:pPr>
        <w:jc w:val="both"/>
        <w:rPr>
          <w:szCs w:val="20"/>
          <w:lang w:val="uk-UA"/>
        </w:rPr>
      </w:pPr>
    </w:p>
    <w:p w:rsidR="00674D8E" w:rsidRPr="00C8716D" w:rsidRDefault="00674D8E" w:rsidP="00C8716D">
      <w:pPr>
        <w:pStyle w:val="a7"/>
        <w:numPr>
          <w:ilvl w:val="0"/>
          <w:numId w:val="16"/>
        </w:numPr>
        <w:jc w:val="both"/>
        <w:rPr>
          <w:b/>
          <w:szCs w:val="20"/>
          <w:lang w:val="uk-UA"/>
        </w:rPr>
      </w:pPr>
      <w:r w:rsidRPr="00C8716D">
        <w:rPr>
          <w:b/>
          <w:szCs w:val="20"/>
          <w:lang w:val="uk-UA"/>
        </w:rPr>
        <w:t xml:space="preserve">Напрями надання дотацій </w:t>
      </w:r>
    </w:p>
    <w:p w:rsidR="00674D8E" w:rsidRDefault="00674D8E" w:rsidP="00674D8E">
      <w:pPr>
        <w:jc w:val="both"/>
        <w:rPr>
          <w:b/>
          <w:szCs w:val="20"/>
          <w:lang w:val="uk-UA"/>
        </w:rPr>
      </w:pPr>
    </w:p>
    <w:p w:rsidR="0041558D" w:rsidRPr="00C8716D" w:rsidRDefault="0041558D" w:rsidP="00C8716D">
      <w:pPr>
        <w:pStyle w:val="a7"/>
        <w:numPr>
          <w:ilvl w:val="1"/>
          <w:numId w:val="17"/>
        </w:numPr>
        <w:jc w:val="both"/>
        <w:rPr>
          <w:szCs w:val="20"/>
          <w:lang w:val="uk-UA"/>
        </w:rPr>
      </w:pPr>
      <w:r w:rsidRPr="00C8716D">
        <w:rPr>
          <w:szCs w:val="20"/>
          <w:lang w:val="uk-UA"/>
        </w:rPr>
        <w:t>Напрямки підтримки поточного циклу сільськогосподарського виробництва:</w:t>
      </w:r>
    </w:p>
    <w:p w:rsidR="0041558D" w:rsidRDefault="0041558D" w:rsidP="0041558D">
      <w:pPr>
        <w:jc w:val="both"/>
        <w:rPr>
          <w:szCs w:val="20"/>
          <w:lang w:val="uk-UA"/>
        </w:rPr>
      </w:pPr>
    </w:p>
    <w:p w:rsidR="00FF453F" w:rsidRDefault="00FF453F" w:rsidP="0041558D">
      <w:pPr>
        <w:jc w:val="both"/>
        <w:rPr>
          <w:i/>
          <w:szCs w:val="20"/>
          <w:lang w:val="uk-UA"/>
        </w:rPr>
      </w:pPr>
      <w:r w:rsidRPr="00FF453F">
        <w:rPr>
          <w:i/>
          <w:szCs w:val="20"/>
          <w:lang w:val="uk-UA"/>
        </w:rPr>
        <w:t>За пріоритетами Плану пріоритетних дій Уряду на 2016 рік</w:t>
      </w:r>
    </w:p>
    <w:p w:rsidR="00FF453F" w:rsidRDefault="00FF453F" w:rsidP="0041558D">
      <w:pPr>
        <w:jc w:val="both"/>
        <w:rPr>
          <w:i/>
          <w:szCs w:val="20"/>
          <w:lang w:val="uk-UA"/>
        </w:rPr>
      </w:pPr>
    </w:p>
    <w:p w:rsidR="009A4A04" w:rsidRDefault="009A4A04" w:rsidP="009A4A04">
      <w:pPr>
        <w:pStyle w:val="a7"/>
        <w:numPr>
          <w:ilvl w:val="0"/>
          <w:numId w:val="9"/>
        </w:numPr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страхування врожаю (виключно для малих та середніх господарств) за механізмом, передбаченим в Законі України – шляхом </w:t>
      </w:r>
      <w:r w:rsidR="00FF453F">
        <w:rPr>
          <w:szCs w:val="20"/>
          <w:lang w:val="uk-UA"/>
        </w:rPr>
        <w:t>надання податкового кредиту в розмірі вартості страхового полісу</w:t>
      </w:r>
      <w:r w:rsidR="00E22F89">
        <w:rPr>
          <w:szCs w:val="20"/>
          <w:lang w:val="uk-UA"/>
        </w:rPr>
        <w:t xml:space="preserve"> для всього загалу середніх та малих сільгосппідприємств</w:t>
      </w:r>
    </w:p>
    <w:p w:rsidR="009A4A04" w:rsidRPr="009A4A04" w:rsidRDefault="009A4A04" w:rsidP="009A4A04">
      <w:pPr>
        <w:jc w:val="both"/>
        <w:rPr>
          <w:szCs w:val="20"/>
          <w:lang w:val="uk-UA"/>
        </w:rPr>
      </w:pPr>
    </w:p>
    <w:p w:rsidR="00914893" w:rsidRDefault="0041558D" w:rsidP="00914893">
      <w:pPr>
        <w:pStyle w:val="a7"/>
        <w:numPr>
          <w:ilvl w:val="0"/>
          <w:numId w:val="9"/>
        </w:numPr>
        <w:jc w:val="both"/>
        <w:rPr>
          <w:szCs w:val="20"/>
          <w:lang w:val="uk-UA"/>
        </w:rPr>
      </w:pPr>
      <w:r w:rsidRPr="00914893">
        <w:rPr>
          <w:szCs w:val="20"/>
          <w:lang w:val="uk-UA"/>
        </w:rPr>
        <w:t xml:space="preserve">здешевлення закупівлі факторів виробництва </w:t>
      </w:r>
      <w:r w:rsidR="00914893" w:rsidRPr="00914893">
        <w:rPr>
          <w:szCs w:val="20"/>
          <w:lang w:val="uk-UA"/>
        </w:rPr>
        <w:t xml:space="preserve">при виробництві органічної продукції </w:t>
      </w:r>
      <w:r w:rsidR="00914893">
        <w:rPr>
          <w:szCs w:val="20"/>
          <w:lang w:val="uk-UA"/>
        </w:rPr>
        <w:t>–</w:t>
      </w:r>
      <w:r w:rsidR="00914893" w:rsidRPr="00914893">
        <w:rPr>
          <w:szCs w:val="20"/>
          <w:lang w:val="uk-UA"/>
        </w:rPr>
        <w:t xml:space="preserve"> </w:t>
      </w:r>
      <w:r w:rsidR="00914893">
        <w:rPr>
          <w:szCs w:val="20"/>
          <w:lang w:val="uk-UA"/>
        </w:rPr>
        <w:t xml:space="preserve">шляхом надання податкового кредиту </w:t>
      </w:r>
      <w:r w:rsidR="00914893" w:rsidRPr="00914893">
        <w:rPr>
          <w:szCs w:val="20"/>
          <w:lang w:val="uk-UA"/>
        </w:rPr>
        <w:t>у розмірі 10-20% вартості партії поставки при закупівлі насіння, пального, засобів захисту рослин</w:t>
      </w:r>
    </w:p>
    <w:p w:rsidR="00914893" w:rsidRPr="00914893" w:rsidRDefault="00914893" w:rsidP="00914893">
      <w:pPr>
        <w:pStyle w:val="a7"/>
        <w:rPr>
          <w:szCs w:val="20"/>
          <w:lang w:val="uk-UA"/>
        </w:rPr>
      </w:pPr>
    </w:p>
    <w:p w:rsidR="00864454" w:rsidRDefault="00864454" w:rsidP="00864454">
      <w:pPr>
        <w:pStyle w:val="a7"/>
        <w:numPr>
          <w:ilvl w:val="0"/>
          <w:numId w:val="9"/>
        </w:numPr>
        <w:jc w:val="both"/>
        <w:rPr>
          <w:szCs w:val="20"/>
          <w:lang w:val="uk-UA"/>
        </w:rPr>
      </w:pPr>
      <w:r w:rsidRPr="00914893">
        <w:rPr>
          <w:szCs w:val="20"/>
          <w:lang w:val="uk-UA"/>
        </w:rPr>
        <w:t xml:space="preserve">здешевлення закупівлі факторів виробництва </w:t>
      </w:r>
      <w:r>
        <w:rPr>
          <w:szCs w:val="20"/>
          <w:lang w:val="uk-UA"/>
        </w:rPr>
        <w:t>для підприємств, які обробляють площу менше 500 га –</w:t>
      </w:r>
      <w:r w:rsidRPr="00914893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шляхом надання податкового кредиту </w:t>
      </w:r>
      <w:r w:rsidRPr="00914893">
        <w:rPr>
          <w:szCs w:val="20"/>
          <w:lang w:val="uk-UA"/>
        </w:rPr>
        <w:t>у розмірі 10-20% вартості партії поставки при закупівлі насіння, пального, засобів захисту рослин</w:t>
      </w:r>
      <w:r w:rsidR="00E22F89">
        <w:rPr>
          <w:szCs w:val="20"/>
          <w:lang w:val="uk-UA"/>
        </w:rPr>
        <w:t xml:space="preserve"> та 100% витрат логістики, націнки оптових та роздрібних ринків та торгових мереж</w:t>
      </w:r>
    </w:p>
    <w:p w:rsidR="00864454" w:rsidRPr="00864454" w:rsidRDefault="00864454" w:rsidP="00864454">
      <w:pPr>
        <w:pStyle w:val="a7"/>
        <w:rPr>
          <w:szCs w:val="20"/>
          <w:lang w:val="uk-UA"/>
        </w:rPr>
      </w:pPr>
    </w:p>
    <w:p w:rsidR="00914893" w:rsidRDefault="00914893" w:rsidP="00914893">
      <w:pPr>
        <w:pStyle w:val="a7"/>
        <w:numPr>
          <w:ilvl w:val="0"/>
          <w:numId w:val="9"/>
        </w:numPr>
        <w:jc w:val="both"/>
        <w:rPr>
          <w:szCs w:val="20"/>
          <w:lang w:val="uk-UA"/>
        </w:rPr>
      </w:pPr>
      <w:r>
        <w:rPr>
          <w:szCs w:val="20"/>
          <w:lang w:val="uk-UA"/>
        </w:rPr>
        <w:t>компенсації логістичних витрат</w:t>
      </w:r>
      <w:r w:rsidR="00E22F89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при експорті – шляхом надання податкового кредиту на суму логістичних витрат</w:t>
      </w:r>
      <w:r w:rsidR="00630AC2">
        <w:rPr>
          <w:szCs w:val="20"/>
          <w:lang w:val="uk-UA"/>
        </w:rPr>
        <w:t xml:space="preserve"> (послуги із зберігання, доставки, у тому числі до портових елеваторів, супровід експорту)</w:t>
      </w:r>
    </w:p>
    <w:p w:rsidR="00914893" w:rsidRPr="00914893" w:rsidRDefault="00914893" w:rsidP="00914893">
      <w:pPr>
        <w:pStyle w:val="a7"/>
        <w:ind w:left="360"/>
        <w:jc w:val="both"/>
        <w:rPr>
          <w:szCs w:val="20"/>
          <w:lang w:val="uk-UA"/>
        </w:rPr>
      </w:pPr>
    </w:p>
    <w:p w:rsidR="00914893" w:rsidRPr="00914893" w:rsidRDefault="00914893" w:rsidP="00E22F89">
      <w:pPr>
        <w:pStyle w:val="a7"/>
        <w:ind w:left="360"/>
        <w:jc w:val="both"/>
        <w:rPr>
          <w:szCs w:val="20"/>
          <w:lang w:val="uk-UA"/>
        </w:rPr>
      </w:pPr>
    </w:p>
    <w:p w:rsidR="00E22F89" w:rsidRDefault="00E22F89" w:rsidP="00E22F89">
      <w:pPr>
        <w:jc w:val="both"/>
        <w:rPr>
          <w:i/>
          <w:szCs w:val="20"/>
          <w:lang w:val="uk-UA"/>
        </w:rPr>
      </w:pPr>
      <w:r w:rsidRPr="00FF453F">
        <w:rPr>
          <w:i/>
          <w:szCs w:val="20"/>
          <w:lang w:val="uk-UA"/>
        </w:rPr>
        <w:t xml:space="preserve">За пріоритетами </w:t>
      </w:r>
      <w:r>
        <w:rPr>
          <w:i/>
          <w:szCs w:val="20"/>
          <w:lang w:val="uk-UA"/>
        </w:rPr>
        <w:t>сільгоспвиробників</w:t>
      </w:r>
    </w:p>
    <w:p w:rsidR="005D1F3A" w:rsidRPr="0041558D" w:rsidRDefault="005D1F3A" w:rsidP="00190293">
      <w:pPr>
        <w:pStyle w:val="a7"/>
        <w:ind w:left="360"/>
        <w:jc w:val="both"/>
        <w:rPr>
          <w:szCs w:val="20"/>
          <w:lang w:val="uk-UA"/>
        </w:rPr>
      </w:pPr>
    </w:p>
    <w:p w:rsidR="0041558D" w:rsidRDefault="00E22F89" w:rsidP="0041558D">
      <w:pPr>
        <w:pStyle w:val="a7"/>
        <w:numPr>
          <w:ilvl w:val="0"/>
          <w:numId w:val="9"/>
        </w:numPr>
        <w:jc w:val="both"/>
        <w:rPr>
          <w:szCs w:val="20"/>
          <w:lang w:val="uk-UA"/>
        </w:rPr>
      </w:pPr>
      <w:r w:rsidRPr="00E22F89">
        <w:rPr>
          <w:szCs w:val="20"/>
          <w:lang w:val="uk-UA"/>
        </w:rPr>
        <w:t xml:space="preserve">здешевлення утримання великої рогатої худоби </w:t>
      </w:r>
      <w:r>
        <w:rPr>
          <w:szCs w:val="20"/>
          <w:lang w:val="uk-UA"/>
        </w:rPr>
        <w:t xml:space="preserve">– надання податкового кредиту на суму </w:t>
      </w:r>
      <w:r w:rsidR="002C5C59" w:rsidRPr="002C5C59">
        <w:rPr>
          <w:szCs w:val="20"/>
        </w:rPr>
        <w:t xml:space="preserve">100% </w:t>
      </w:r>
      <w:r>
        <w:rPr>
          <w:szCs w:val="20"/>
          <w:lang w:val="uk-UA"/>
        </w:rPr>
        <w:t>витрат</w:t>
      </w:r>
      <w:r w:rsidR="002C5C59" w:rsidRPr="002C5C59">
        <w:rPr>
          <w:szCs w:val="20"/>
        </w:rPr>
        <w:t xml:space="preserve"> </w:t>
      </w:r>
      <w:r w:rsidR="002C5C59">
        <w:rPr>
          <w:szCs w:val="20"/>
        </w:rPr>
        <w:t>на ветпрепарати, харчов</w:t>
      </w:r>
      <w:r w:rsidR="002C5C59">
        <w:rPr>
          <w:szCs w:val="20"/>
          <w:lang w:val="uk-UA"/>
        </w:rPr>
        <w:t>і</w:t>
      </w:r>
      <w:r w:rsidR="002C5C59">
        <w:rPr>
          <w:szCs w:val="20"/>
        </w:rPr>
        <w:t xml:space="preserve"> добавки, 50% вартост</w:t>
      </w:r>
      <w:r w:rsidR="002C5C59">
        <w:rPr>
          <w:szCs w:val="20"/>
          <w:lang w:val="uk-UA"/>
        </w:rPr>
        <w:t>і</w:t>
      </w:r>
      <w:r w:rsidR="002C5C59">
        <w:rPr>
          <w:szCs w:val="20"/>
        </w:rPr>
        <w:t xml:space="preserve"> корм</w:t>
      </w:r>
      <w:r w:rsidR="002C5C59">
        <w:rPr>
          <w:szCs w:val="20"/>
          <w:lang w:val="uk-UA"/>
        </w:rPr>
        <w:t>і</w:t>
      </w:r>
      <w:r w:rsidR="002C5C59">
        <w:rPr>
          <w:szCs w:val="20"/>
        </w:rPr>
        <w:t>в</w:t>
      </w:r>
    </w:p>
    <w:p w:rsidR="002C5C59" w:rsidRDefault="002C5C59" w:rsidP="002C5C59">
      <w:pPr>
        <w:pStyle w:val="a7"/>
        <w:ind w:left="360"/>
        <w:jc w:val="both"/>
        <w:rPr>
          <w:szCs w:val="20"/>
          <w:lang w:val="uk-UA"/>
        </w:rPr>
      </w:pPr>
    </w:p>
    <w:p w:rsidR="002C5C59" w:rsidRPr="00802604" w:rsidRDefault="002C5C59" w:rsidP="0041558D">
      <w:pPr>
        <w:pStyle w:val="a7"/>
        <w:numPr>
          <w:ilvl w:val="0"/>
          <w:numId w:val="9"/>
        </w:numPr>
        <w:jc w:val="both"/>
        <w:rPr>
          <w:szCs w:val="20"/>
          <w:lang w:val="uk-UA"/>
        </w:rPr>
      </w:pPr>
      <w:r w:rsidRPr="00802604">
        <w:rPr>
          <w:szCs w:val="20"/>
          <w:lang w:val="uk-UA"/>
        </w:rPr>
        <w:t xml:space="preserve">здешевлення виробництва молока – надання податкового кредиту на </w:t>
      </w:r>
      <w:r w:rsidR="00802604" w:rsidRPr="00802604">
        <w:rPr>
          <w:szCs w:val="20"/>
          <w:lang w:val="uk-UA"/>
        </w:rPr>
        <w:t xml:space="preserve">суму різниці </w:t>
      </w:r>
      <w:r w:rsidR="001E734C">
        <w:rPr>
          <w:szCs w:val="20"/>
          <w:lang w:val="uk-UA"/>
        </w:rPr>
        <w:t xml:space="preserve">цін закупівлі переробними підприємствами, торговими посередниками </w:t>
      </w:r>
      <w:r w:rsidR="00802604" w:rsidRPr="00802604">
        <w:rPr>
          <w:szCs w:val="20"/>
          <w:lang w:val="uk-UA"/>
        </w:rPr>
        <w:t>і роздріб</w:t>
      </w:r>
      <w:r w:rsidR="001E734C">
        <w:rPr>
          <w:szCs w:val="20"/>
          <w:lang w:val="uk-UA"/>
        </w:rPr>
        <w:t>них цін</w:t>
      </w:r>
    </w:p>
    <w:p w:rsidR="002C5C59" w:rsidRPr="002C5C59" w:rsidRDefault="002C5C59" w:rsidP="002C5C59">
      <w:pPr>
        <w:pStyle w:val="a7"/>
        <w:rPr>
          <w:szCs w:val="20"/>
          <w:lang w:val="uk-UA"/>
        </w:rPr>
      </w:pPr>
    </w:p>
    <w:p w:rsidR="002C5C59" w:rsidRPr="00802604" w:rsidRDefault="002C5C59" w:rsidP="00802604">
      <w:pPr>
        <w:jc w:val="both"/>
        <w:rPr>
          <w:szCs w:val="20"/>
          <w:lang w:val="uk-UA"/>
        </w:rPr>
      </w:pPr>
    </w:p>
    <w:p w:rsidR="00802604" w:rsidRPr="00C8716D" w:rsidRDefault="00C8716D" w:rsidP="00C8716D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>4.2.</w:t>
      </w:r>
      <w:r w:rsidR="00802604" w:rsidRPr="00C8716D">
        <w:rPr>
          <w:szCs w:val="20"/>
          <w:lang w:val="uk-UA"/>
        </w:rPr>
        <w:t>Напрямки підтримки розвит</w:t>
      </w:r>
      <w:r w:rsidR="00802604" w:rsidRPr="00C8716D">
        <w:rPr>
          <w:szCs w:val="20"/>
        </w:rPr>
        <w:t>ку</w:t>
      </w:r>
      <w:r w:rsidR="00802604" w:rsidRPr="00C8716D">
        <w:rPr>
          <w:szCs w:val="20"/>
          <w:lang w:val="uk-UA"/>
        </w:rPr>
        <w:t xml:space="preserve"> активів сільгоспвиробника:</w:t>
      </w:r>
    </w:p>
    <w:p w:rsidR="00E22F89" w:rsidRPr="00E22F89" w:rsidRDefault="00E22F89" w:rsidP="002C5C59">
      <w:pPr>
        <w:pStyle w:val="a7"/>
        <w:ind w:left="360"/>
        <w:jc w:val="both"/>
        <w:rPr>
          <w:szCs w:val="20"/>
          <w:lang w:val="uk-UA"/>
        </w:rPr>
      </w:pPr>
    </w:p>
    <w:p w:rsidR="001E734C" w:rsidRDefault="001E734C" w:rsidP="001E734C">
      <w:pPr>
        <w:jc w:val="both"/>
        <w:rPr>
          <w:i/>
          <w:szCs w:val="20"/>
          <w:lang w:val="uk-UA"/>
        </w:rPr>
      </w:pPr>
      <w:r w:rsidRPr="00FF453F">
        <w:rPr>
          <w:i/>
          <w:szCs w:val="20"/>
          <w:lang w:val="uk-UA"/>
        </w:rPr>
        <w:t>За пріоритетами Плану пріоритетних дій Уряду на 2016 рік</w:t>
      </w:r>
    </w:p>
    <w:p w:rsidR="006F3169" w:rsidRDefault="006F3169" w:rsidP="00674D8E">
      <w:pPr>
        <w:jc w:val="both"/>
        <w:rPr>
          <w:b/>
          <w:szCs w:val="20"/>
          <w:lang w:val="uk-UA"/>
        </w:rPr>
      </w:pPr>
    </w:p>
    <w:p w:rsidR="002F60D3" w:rsidRPr="002F60D3" w:rsidRDefault="002F60D3" w:rsidP="002F60D3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2F60D3">
        <w:rPr>
          <w:szCs w:val="20"/>
          <w:lang w:val="uk-UA"/>
        </w:rPr>
        <w:t xml:space="preserve">часткова компенсація вартості </w:t>
      </w:r>
      <w:r w:rsidR="00D55AC6">
        <w:rPr>
          <w:szCs w:val="20"/>
          <w:lang w:val="uk-UA"/>
        </w:rPr>
        <w:t xml:space="preserve">нерухомості, </w:t>
      </w:r>
      <w:r w:rsidRPr="002F60D3">
        <w:rPr>
          <w:szCs w:val="20"/>
          <w:lang w:val="uk-UA"/>
        </w:rPr>
        <w:t>обладнання та</w:t>
      </w:r>
      <w:r>
        <w:rPr>
          <w:szCs w:val="20"/>
          <w:lang w:val="uk-UA"/>
        </w:rPr>
        <w:t>/або</w:t>
      </w:r>
      <w:r w:rsidRPr="002F60D3">
        <w:rPr>
          <w:szCs w:val="20"/>
          <w:lang w:val="uk-UA"/>
        </w:rPr>
        <w:t xml:space="preserve"> технології переробки рослинної сировини –</w:t>
      </w:r>
      <w:r w:rsidR="004E634C">
        <w:rPr>
          <w:szCs w:val="20"/>
          <w:lang w:val="uk-UA"/>
        </w:rPr>
        <w:t xml:space="preserve"> </w:t>
      </w:r>
      <w:r w:rsidRPr="002F60D3">
        <w:rPr>
          <w:szCs w:val="20"/>
          <w:lang w:val="uk-UA"/>
        </w:rPr>
        <w:t xml:space="preserve">кредит та/або </w:t>
      </w:r>
      <w:r>
        <w:rPr>
          <w:szCs w:val="20"/>
          <w:lang w:val="uk-UA"/>
        </w:rPr>
        <w:t>податковий кредит у розмірі 50%</w:t>
      </w:r>
      <w:r w:rsidR="00ED1D1D">
        <w:rPr>
          <w:szCs w:val="20"/>
          <w:lang w:val="uk-UA"/>
        </w:rPr>
        <w:t>;</w:t>
      </w:r>
      <w:r>
        <w:rPr>
          <w:szCs w:val="20"/>
          <w:lang w:val="uk-UA"/>
        </w:rPr>
        <w:t xml:space="preserve"> для підприємств, що обробляють площу менше 500 га та для переробки органічної продукції – </w:t>
      </w:r>
      <w:r w:rsidR="00D55AC6">
        <w:rPr>
          <w:szCs w:val="20"/>
          <w:lang w:val="uk-UA"/>
        </w:rPr>
        <w:t>75</w:t>
      </w:r>
      <w:r>
        <w:rPr>
          <w:szCs w:val="20"/>
          <w:lang w:val="uk-UA"/>
        </w:rPr>
        <w:t xml:space="preserve">% </w:t>
      </w:r>
    </w:p>
    <w:p w:rsidR="006F3169" w:rsidRDefault="006F3169" w:rsidP="00674D8E">
      <w:pPr>
        <w:jc w:val="both"/>
        <w:rPr>
          <w:b/>
          <w:szCs w:val="20"/>
          <w:lang w:val="uk-UA"/>
        </w:rPr>
      </w:pPr>
    </w:p>
    <w:p w:rsidR="00ED1D1D" w:rsidRPr="00ED1D1D" w:rsidRDefault="00ED1D1D" w:rsidP="00ED1D1D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ED1D1D">
        <w:rPr>
          <w:szCs w:val="20"/>
          <w:lang w:val="uk-UA"/>
        </w:rPr>
        <w:t xml:space="preserve">часткова компенсація вартості </w:t>
      </w:r>
      <w:r w:rsidR="00D55AC6">
        <w:rPr>
          <w:szCs w:val="20"/>
          <w:lang w:val="uk-UA"/>
        </w:rPr>
        <w:t xml:space="preserve">нерухомості, </w:t>
      </w:r>
      <w:r w:rsidRPr="00ED1D1D">
        <w:rPr>
          <w:szCs w:val="20"/>
          <w:lang w:val="uk-UA"/>
        </w:rPr>
        <w:t xml:space="preserve">обладнання та/або технології виробництва тваринницької продукції – кредит та/або податковий кредит у розмірі 20% для виробництва продукції птахівництва, 50% - свинарства, </w:t>
      </w:r>
      <w:r w:rsidR="00D55AC6">
        <w:rPr>
          <w:szCs w:val="20"/>
          <w:lang w:val="uk-UA"/>
        </w:rPr>
        <w:t>75</w:t>
      </w:r>
      <w:r w:rsidRPr="00ED1D1D">
        <w:rPr>
          <w:szCs w:val="20"/>
          <w:lang w:val="uk-UA"/>
        </w:rPr>
        <w:t xml:space="preserve">% - ВРХ, </w:t>
      </w:r>
      <w:r>
        <w:rPr>
          <w:szCs w:val="20"/>
          <w:lang w:val="uk-UA"/>
        </w:rPr>
        <w:t xml:space="preserve">для </w:t>
      </w:r>
      <w:r w:rsidRPr="00ED1D1D">
        <w:rPr>
          <w:szCs w:val="20"/>
          <w:lang w:val="uk-UA"/>
        </w:rPr>
        <w:t xml:space="preserve">підприємств, що обробляють площу менше 500 га – </w:t>
      </w:r>
      <w:r>
        <w:rPr>
          <w:szCs w:val="20"/>
          <w:lang w:val="uk-UA"/>
        </w:rPr>
        <w:t xml:space="preserve">відповідно </w:t>
      </w:r>
      <w:r w:rsidRPr="00ED1D1D">
        <w:rPr>
          <w:szCs w:val="20"/>
          <w:lang w:val="uk-UA"/>
        </w:rPr>
        <w:t>50%</w:t>
      </w:r>
      <w:r>
        <w:rPr>
          <w:szCs w:val="20"/>
          <w:lang w:val="uk-UA"/>
        </w:rPr>
        <w:t xml:space="preserve">, </w:t>
      </w:r>
      <w:r w:rsidR="00D55AC6">
        <w:rPr>
          <w:szCs w:val="20"/>
          <w:lang w:val="uk-UA"/>
        </w:rPr>
        <w:t>75</w:t>
      </w:r>
      <w:r>
        <w:rPr>
          <w:szCs w:val="20"/>
          <w:lang w:val="uk-UA"/>
        </w:rPr>
        <w:t xml:space="preserve">%, </w:t>
      </w:r>
      <w:r w:rsidR="00D55AC6">
        <w:rPr>
          <w:szCs w:val="20"/>
          <w:lang w:val="uk-UA"/>
        </w:rPr>
        <w:t>8</w:t>
      </w:r>
      <w:r w:rsidRPr="00ED1D1D">
        <w:rPr>
          <w:szCs w:val="20"/>
          <w:lang w:val="uk-UA"/>
        </w:rPr>
        <w:t xml:space="preserve">0% </w:t>
      </w:r>
    </w:p>
    <w:p w:rsidR="00ED1D1D" w:rsidRPr="00ED1D1D" w:rsidRDefault="00ED1D1D" w:rsidP="00ED1D1D">
      <w:pPr>
        <w:pStyle w:val="a7"/>
        <w:rPr>
          <w:szCs w:val="20"/>
          <w:lang w:val="uk-UA"/>
        </w:rPr>
      </w:pPr>
    </w:p>
    <w:p w:rsidR="00ED1D1D" w:rsidRPr="002F60D3" w:rsidRDefault="00ED1D1D" w:rsidP="00ED1D1D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2F60D3">
        <w:rPr>
          <w:szCs w:val="20"/>
          <w:lang w:val="uk-UA"/>
        </w:rPr>
        <w:t xml:space="preserve">часткова компенсація вартості </w:t>
      </w:r>
      <w:r w:rsidR="00D55AC6">
        <w:rPr>
          <w:szCs w:val="20"/>
          <w:lang w:val="uk-UA"/>
        </w:rPr>
        <w:t xml:space="preserve">нерухомості, </w:t>
      </w:r>
      <w:r w:rsidRPr="002F60D3">
        <w:rPr>
          <w:szCs w:val="20"/>
          <w:lang w:val="uk-UA"/>
        </w:rPr>
        <w:t>обладнання та</w:t>
      </w:r>
      <w:r>
        <w:rPr>
          <w:szCs w:val="20"/>
          <w:lang w:val="uk-UA"/>
        </w:rPr>
        <w:t>/або</w:t>
      </w:r>
      <w:r w:rsidRPr="002F60D3">
        <w:rPr>
          <w:szCs w:val="20"/>
          <w:lang w:val="uk-UA"/>
        </w:rPr>
        <w:t xml:space="preserve"> технології </w:t>
      </w:r>
      <w:r w:rsidR="00D55AC6">
        <w:rPr>
          <w:szCs w:val="20"/>
          <w:lang w:val="uk-UA"/>
        </w:rPr>
        <w:t xml:space="preserve">зберігання врожаю </w:t>
      </w:r>
      <w:r w:rsidRPr="002F60D3">
        <w:rPr>
          <w:szCs w:val="20"/>
          <w:lang w:val="uk-UA"/>
        </w:rPr>
        <w:t>–</w:t>
      </w:r>
      <w:r w:rsidR="00D55AC6">
        <w:rPr>
          <w:szCs w:val="20"/>
          <w:lang w:val="uk-UA"/>
        </w:rPr>
        <w:t xml:space="preserve"> </w:t>
      </w:r>
      <w:r w:rsidRPr="002F60D3">
        <w:rPr>
          <w:szCs w:val="20"/>
          <w:lang w:val="uk-UA"/>
        </w:rPr>
        <w:t xml:space="preserve">кредит та/або </w:t>
      </w:r>
      <w:r>
        <w:rPr>
          <w:szCs w:val="20"/>
          <w:lang w:val="uk-UA"/>
        </w:rPr>
        <w:t xml:space="preserve">податковий кредит у розмірі 50%, для підприємств, що обробляють площу менше 500 га та для </w:t>
      </w:r>
      <w:r w:rsidR="00D55AC6">
        <w:rPr>
          <w:szCs w:val="20"/>
          <w:lang w:val="uk-UA"/>
        </w:rPr>
        <w:t xml:space="preserve">зберігання </w:t>
      </w:r>
      <w:r>
        <w:rPr>
          <w:szCs w:val="20"/>
          <w:lang w:val="uk-UA"/>
        </w:rPr>
        <w:t xml:space="preserve">органічної продукції – 90% </w:t>
      </w:r>
    </w:p>
    <w:p w:rsidR="00ED1D1D" w:rsidRPr="00ED1D1D" w:rsidRDefault="00ED1D1D" w:rsidP="00ED1D1D">
      <w:pPr>
        <w:pStyle w:val="a7"/>
        <w:ind w:left="360"/>
        <w:jc w:val="both"/>
        <w:rPr>
          <w:szCs w:val="20"/>
          <w:lang w:val="uk-UA"/>
        </w:rPr>
      </w:pPr>
    </w:p>
    <w:p w:rsidR="00D55AC6" w:rsidRDefault="00D55AC6" w:rsidP="00D55AC6">
      <w:pPr>
        <w:jc w:val="both"/>
        <w:rPr>
          <w:i/>
          <w:szCs w:val="20"/>
          <w:lang w:val="uk-UA"/>
        </w:rPr>
      </w:pPr>
      <w:r w:rsidRPr="00FF453F">
        <w:rPr>
          <w:i/>
          <w:szCs w:val="20"/>
          <w:lang w:val="uk-UA"/>
        </w:rPr>
        <w:t xml:space="preserve">За пріоритетами </w:t>
      </w:r>
      <w:r>
        <w:rPr>
          <w:i/>
          <w:szCs w:val="20"/>
          <w:lang w:val="uk-UA"/>
        </w:rPr>
        <w:t>сільгоспвиробників</w:t>
      </w:r>
    </w:p>
    <w:p w:rsidR="00ED1D1D" w:rsidRDefault="00ED1D1D" w:rsidP="00ED1D1D">
      <w:pPr>
        <w:pStyle w:val="a7"/>
        <w:rPr>
          <w:szCs w:val="20"/>
          <w:lang w:val="uk-UA"/>
        </w:rPr>
      </w:pPr>
    </w:p>
    <w:p w:rsidR="00D55AC6" w:rsidRPr="002F60D3" w:rsidRDefault="00D55AC6" w:rsidP="00D55AC6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2F60D3">
        <w:rPr>
          <w:szCs w:val="20"/>
          <w:lang w:val="uk-UA"/>
        </w:rPr>
        <w:t xml:space="preserve">часткова компенсація вартості </w:t>
      </w:r>
      <w:r>
        <w:rPr>
          <w:szCs w:val="20"/>
          <w:lang w:val="uk-UA"/>
        </w:rPr>
        <w:t xml:space="preserve">нерухомості, </w:t>
      </w:r>
      <w:r w:rsidRPr="002F60D3">
        <w:rPr>
          <w:szCs w:val="20"/>
          <w:lang w:val="uk-UA"/>
        </w:rPr>
        <w:t>обладнання та</w:t>
      </w:r>
      <w:r>
        <w:rPr>
          <w:szCs w:val="20"/>
          <w:lang w:val="uk-UA"/>
        </w:rPr>
        <w:t>/або</w:t>
      </w:r>
      <w:r w:rsidRPr="002F60D3">
        <w:rPr>
          <w:szCs w:val="20"/>
          <w:lang w:val="uk-UA"/>
        </w:rPr>
        <w:t xml:space="preserve"> технології </w:t>
      </w:r>
      <w:r>
        <w:rPr>
          <w:szCs w:val="20"/>
          <w:lang w:val="uk-UA"/>
        </w:rPr>
        <w:t xml:space="preserve">доїння, первинної та вторинної переробки молока </w:t>
      </w:r>
      <w:r w:rsidRPr="002F60D3">
        <w:rPr>
          <w:szCs w:val="20"/>
          <w:lang w:val="uk-UA"/>
        </w:rPr>
        <w:t>–</w:t>
      </w:r>
      <w:r>
        <w:rPr>
          <w:szCs w:val="20"/>
          <w:lang w:val="uk-UA"/>
        </w:rPr>
        <w:t xml:space="preserve"> </w:t>
      </w:r>
      <w:r w:rsidRPr="002F60D3">
        <w:rPr>
          <w:szCs w:val="20"/>
          <w:lang w:val="uk-UA"/>
        </w:rPr>
        <w:t xml:space="preserve">кредит та/або </w:t>
      </w:r>
      <w:r>
        <w:rPr>
          <w:szCs w:val="20"/>
          <w:lang w:val="uk-UA"/>
        </w:rPr>
        <w:t xml:space="preserve">податковий кредит у розмірі 75% </w:t>
      </w:r>
    </w:p>
    <w:p w:rsidR="00ED1D1D" w:rsidRPr="00ED1D1D" w:rsidRDefault="00ED1D1D" w:rsidP="00D55AC6">
      <w:pPr>
        <w:pStyle w:val="a7"/>
        <w:ind w:left="360"/>
        <w:jc w:val="both"/>
        <w:rPr>
          <w:szCs w:val="20"/>
          <w:lang w:val="uk-UA"/>
        </w:rPr>
      </w:pPr>
    </w:p>
    <w:p w:rsidR="00D55AC6" w:rsidRDefault="00D55AC6" w:rsidP="00E22F89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2F60D3">
        <w:rPr>
          <w:szCs w:val="20"/>
          <w:lang w:val="uk-UA"/>
        </w:rPr>
        <w:t xml:space="preserve">часткова компенсація вартості </w:t>
      </w:r>
      <w:r>
        <w:rPr>
          <w:szCs w:val="20"/>
          <w:lang w:val="uk-UA"/>
        </w:rPr>
        <w:t xml:space="preserve">нерухомості, </w:t>
      </w:r>
      <w:r w:rsidRPr="002F60D3">
        <w:rPr>
          <w:szCs w:val="20"/>
          <w:lang w:val="uk-UA"/>
        </w:rPr>
        <w:t>обладнання та</w:t>
      </w:r>
      <w:r>
        <w:rPr>
          <w:szCs w:val="20"/>
          <w:lang w:val="uk-UA"/>
        </w:rPr>
        <w:t>/або</w:t>
      </w:r>
      <w:r w:rsidRPr="002F60D3">
        <w:rPr>
          <w:szCs w:val="20"/>
          <w:lang w:val="uk-UA"/>
        </w:rPr>
        <w:t xml:space="preserve"> технології</w:t>
      </w:r>
      <w:r>
        <w:rPr>
          <w:szCs w:val="20"/>
          <w:lang w:val="uk-UA"/>
        </w:rPr>
        <w:t xml:space="preserve"> для знов створених фермерських господарств – </w:t>
      </w:r>
      <w:r w:rsidRPr="002F60D3">
        <w:rPr>
          <w:szCs w:val="20"/>
          <w:lang w:val="uk-UA"/>
        </w:rPr>
        <w:t xml:space="preserve">кредит та/або </w:t>
      </w:r>
      <w:r>
        <w:rPr>
          <w:szCs w:val="20"/>
          <w:lang w:val="uk-UA"/>
        </w:rPr>
        <w:t>податковий кредит у розмірі 50% (власники та керівники нового господарства не можуть бути власниками інших господарств або мати будь-які підприємства в минулому)</w:t>
      </w:r>
    </w:p>
    <w:p w:rsidR="00D55AC6" w:rsidRDefault="00D55AC6" w:rsidP="00D55AC6">
      <w:pPr>
        <w:pStyle w:val="a7"/>
        <w:rPr>
          <w:szCs w:val="20"/>
          <w:lang w:val="uk-UA"/>
        </w:rPr>
      </w:pPr>
    </w:p>
    <w:p w:rsidR="009E34C5" w:rsidRDefault="009E34C5">
      <w:pPr>
        <w:spacing w:after="200" w:line="276" w:lineRule="auto"/>
        <w:rPr>
          <w:szCs w:val="20"/>
          <w:lang w:val="uk-UA"/>
        </w:rPr>
      </w:pPr>
      <w:r>
        <w:rPr>
          <w:szCs w:val="20"/>
          <w:lang w:val="uk-UA"/>
        </w:rPr>
        <w:br w:type="page"/>
      </w:r>
    </w:p>
    <w:p w:rsidR="00D55AC6" w:rsidRPr="00D55AC6" w:rsidRDefault="00D55AC6" w:rsidP="00D55AC6">
      <w:pPr>
        <w:pStyle w:val="a7"/>
        <w:rPr>
          <w:szCs w:val="20"/>
          <w:lang w:val="uk-UA"/>
        </w:rPr>
      </w:pPr>
    </w:p>
    <w:p w:rsidR="00D55AC6" w:rsidRPr="00C8716D" w:rsidRDefault="00D55AC6" w:rsidP="00D55AC6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>4.3.</w:t>
      </w:r>
      <w:r w:rsidRPr="00C8716D">
        <w:rPr>
          <w:szCs w:val="20"/>
          <w:lang w:val="uk-UA"/>
        </w:rPr>
        <w:t>Напрямки підтримки розвит</w:t>
      </w:r>
      <w:r w:rsidRPr="00C8716D">
        <w:rPr>
          <w:szCs w:val="20"/>
        </w:rPr>
        <w:t>ку</w:t>
      </w:r>
      <w:r w:rsidRPr="00C8716D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сервісної інфраструктури</w:t>
      </w:r>
    </w:p>
    <w:p w:rsidR="003B4712" w:rsidRDefault="003B4712" w:rsidP="003B4712">
      <w:pPr>
        <w:jc w:val="both"/>
        <w:rPr>
          <w:szCs w:val="20"/>
          <w:lang w:val="uk-UA"/>
        </w:rPr>
      </w:pPr>
    </w:p>
    <w:p w:rsidR="003B4712" w:rsidRPr="003B4712" w:rsidRDefault="003B4712" w:rsidP="003B4712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3B4712">
        <w:rPr>
          <w:szCs w:val="20"/>
          <w:lang w:val="uk-UA"/>
        </w:rPr>
        <w:t xml:space="preserve">компенсація вартості нерухомості, обладнання та/або технології спеціалізованих торгівельних мереж середніх та малих сільгоспвиробників, у тому числі оптових – шляхом надання </w:t>
      </w:r>
      <w:r>
        <w:rPr>
          <w:szCs w:val="20"/>
          <w:lang w:val="uk-UA"/>
        </w:rPr>
        <w:t xml:space="preserve">кредиту та/або </w:t>
      </w:r>
      <w:r w:rsidRPr="003B4712">
        <w:rPr>
          <w:szCs w:val="20"/>
          <w:lang w:val="uk-UA"/>
        </w:rPr>
        <w:t xml:space="preserve">податкового кредиту у розмірі </w:t>
      </w:r>
      <w:r>
        <w:rPr>
          <w:szCs w:val="20"/>
          <w:lang w:val="uk-UA"/>
        </w:rPr>
        <w:t>5</w:t>
      </w:r>
      <w:r w:rsidRPr="003B4712">
        <w:rPr>
          <w:szCs w:val="20"/>
          <w:lang w:val="uk-UA"/>
        </w:rPr>
        <w:t xml:space="preserve">0% </w:t>
      </w:r>
    </w:p>
    <w:p w:rsidR="003B4712" w:rsidRDefault="003B4712" w:rsidP="003B4712">
      <w:pPr>
        <w:pStyle w:val="a7"/>
        <w:ind w:left="360"/>
        <w:jc w:val="both"/>
        <w:rPr>
          <w:szCs w:val="20"/>
          <w:lang w:val="uk-UA"/>
        </w:rPr>
      </w:pPr>
    </w:p>
    <w:p w:rsidR="00E22F89" w:rsidRDefault="00D55AC6" w:rsidP="00E22F89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компенсація вартості </w:t>
      </w:r>
      <w:r w:rsidR="004E634C">
        <w:rPr>
          <w:szCs w:val="20"/>
          <w:lang w:val="uk-UA"/>
        </w:rPr>
        <w:t xml:space="preserve">участі (членські внески) в кооперативі, самоврядній організації, витрат, пов‘язаних з організацією спільної діяльності – шляхом надання податкового кредиту у розмірі 100% </w:t>
      </w:r>
      <w:r w:rsidR="003B4712">
        <w:rPr>
          <w:szCs w:val="20"/>
          <w:lang w:val="uk-UA"/>
        </w:rPr>
        <w:t xml:space="preserve">відповідних </w:t>
      </w:r>
      <w:r w:rsidR="004E634C">
        <w:rPr>
          <w:szCs w:val="20"/>
          <w:lang w:val="uk-UA"/>
        </w:rPr>
        <w:t>витрат господарства</w:t>
      </w:r>
    </w:p>
    <w:p w:rsidR="004E634C" w:rsidRDefault="004E634C" w:rsidP="004E634C">
      <w:pPr>
        <w:pStyle w:val="a7"/>
        <w:ind w:left="360"/>
        <w:jc w:val="both"/>
        <w:rPr>
          <w:szCs w:val="20"/>
          <w:lang w:val="uk-UA"/>
        </w:rPr>
      </w:pPr>
    </w:p>
    <w:p w:rsidR="004E634C" w:rsidRDefault="004E634C" w:rsidP="004E634C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4E634C">
        <w:rPr>
          <w:szCs w:val="20"/>
          <w:lang w:val="uk-UA"/>
        </w:rPr>
        <w:t>компенсація вартості послуг дорадчої служби, аналітичного центру, експортного агентства</w:t>
      </w:r>
      <w:r>
        <w:rPr>
          <w:szCs w:val="20"/>
          <w:lang w:val="uk-UA"/>
        </w:rPr>
        <w:t xml:space="preserve"> – шляхом надання податкового кредиту у розмірі 100% витрат господарства</w:t>
      </w:r>
      <w:r w:rsidR="003B4712">
        <w:rPr>
          <w:szCs w:val="20"/>
          <w:lang w:val="uk-UA"/>
        </w:rPr>
        <w:t xml:space="preserve"> на відповідні послуги</w:t>
      </w:r>
    </w:p>
    <w:p w:rsidR="004E634C" w:rsidRDefault="004E634C" w:rsidP="004E634C">
      <w:pPr>
        <w:pStyle w:val="a7"/>
        <w:ind w:left="360"/>
        <w:jc w:val="both"/>
        <w:rPr>
          <w:szCs w:val="20"/>
          <w:lang w:val="uk-UA"/>
        </w:rPr>
      </w:pPr>
    </w:p>
    <w:p w:rsidR="004E634C" w:rsidRDefault="004E634C" w:rsidP="004E634C">
      <w:pPr>
        <w:pStyle w:val="a7"/>
        <w:ind w:left="360"/>
        <w:jc w:val="both"/>
        <w:rPr>
          <w:szCs w:val="20"/>
          <w:lang w:val="uk-UA"/>
        </w:rPr>
      </w:pPr>
    </w:p>
    <w:p w:rsidR="004E634C" w:rsidRPr="00C8716D" w:rsidRDefault="004E634C" w:rsidP="004E634C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>4.4.</w:t>
      </w:r>
      <w:r w:rsidRPr="00C8716D">
        <w:rPr>
          <w:szCs w:val="20"/>
          <w:lang w:val="uk-UA"/>
        </w:rPr>
        <w:t>Напрямки підтримки розвит</w:t>
      </w:r>
      <w:r w:rsidRPr="00C8716D">
        <w:rPr>
          <w:szCs w:val="20"/>
        </w:rPr>
        <w:t>ку</w:t>
      </w:r>
      <w:r w:rsidRPr="00C8716D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сільських територій</w:t>
      </w:r>
    </w:p>
    <w:p w:rsidR="004E634C" w:rsidRDefault="004E634C" w:rsidP="004E634C">
      <w:pPr>
        <w:pStyle w:val="a7"/>
        <w:rPr>
          <w:szCs w:val="20"/>
          <w:lang w:val="uk-UA"/>
        </w:rPr>
      </w:pPr>
    </w:p>
    <w:p w:rsidR="003B4712" w:rsidRPr="003B4712" w:rsidRDefault="003B4712" w:rsidP="003B4712">
      <w:pPr>
        <w:pStyle w:val="a7"/>
        <w:numPr>
          <w:ilvl w:val="0"/>
          <w:numId w:val="11"/>
        </w:numPr>
        <w:jc w:val="both"/>
        <w:rPr>
          <w:szCs w:val="20"/>
          <w:lang w:val="uk-UA"/>
        </w:rPr>
      </w:pPr>
      <w:r w:rsidRPr="003B4712">
        <w:rPr>
          <w:szCs w:val="20"/>
          <w:lang w:val="uk-UA"/>
        </w:rPr>
        <w:t>компенсація витрат господарств на місцеві соціальні потреби та розбудову місцевої інфраструктури</w:t>
      </w:r>
      <w:r>
        <w:rPr>
          <w:szCs w:val="20"/>
          <w:lang w:val="uk-UA"/>
        </w:rPr>
        <w:t xml:space="preserve"> </w:t>
      </w:r>
      <w:r w:rsidRPr="003B4712">
        <w:rPr>
          <w:szCs w:val="20"/>
          <w:lang w:val="uk-UA"/>
        </w:rPr>
        <w:t xml:space="preserve">– шляхом надання податкового кредиту у розмірі </w:t>
      </w:r>
      <w:r>
        <w:rPr>
          <w:szCs w:val="20"/>
          <w:lang w:val="uk-UA"/>
        </w:rPr>
        <w:t xml:space="preserve">від 20% до 50% </w:t>
      </w:r>
      <w:r w:rsidRPr="003B4712">
        <w:rPr>
          <w:szCs w:val="20"/>
          <w:lang w:val="uk-UA"/>
        </w:rPr>
        <w:t>відповідних витрат господарства</w:t>
      </w:r>
    </w:p>
    <w:p w:rsidR="003B4712" w:rsidRDefault="003B4712" w:rsidP="003B4712">
      <w:pPr>
        <w:rPr>
          <w:szCs w:val="20"/>
          <w:lang w:val="uk-UA"/>
        </w:rPr>
      </w:pPr>
    </w:p>
    <w:p w:rsidR="003B4712" w:rsidRDefault="003B4712" w:rsidP="003B4712">
      <w:pPr>
        <w:rPr>
          <w:szCs w:val="20"/>
          <w:lang w:val="uk-UA"/>
        </w:rPr>
      </w:pPr>
    </w:p>
    <w:p w:rsidR="003B4712" w:rsidRDefault="003B4712" w:rsidP="003B4712">
      <w:pPr>
        <w:pStyle w:val="a7"/>
        <w:numPr>
          <w:ilvl w:val="0"/>
          <w:numId w:val="16"/>
        </w:numPr>
        <w:jc w:val="both"/>
        <w:rPr>
          <w:b/>
          <w:szCs w:val="20"/>
          <w:lang w:val="uk-UA"/>
        </w:rPr>
      </w:pPr>
      <w:r>
        <w:rPr>
          <w:b/>
          <w:szCs w:val="20"/>
          <w:lang w:val="uk-UA"/>
        </w:rPr>
        <w:t xml:space="preserve">Налагодження </w:t>
      </w:r>
      <w:r w:rsidR="006C23DA">
        <w:rPr>
          <w:b/>
          <w:szCs w:val="20"/>
          <w:lang w:val="uk-UA"/>
        </w:rPr>
        <w:t>функціонування</w:t>
      </w:r>
      <w:r>
        <w:rPr>
          <w:b/>
          <w:szCs w:val="20"/>
          <w:lang w:val="uk-UA"/>
        </w:rPr>
        <w:t xml:space="preserve"> системи </w:t>
      </w:r>
      <w:r w:rsidRPr="00C8716D">
        <w:rPr>
          <w:b/>
          <w:szCs w:val="20"/>
          <w:lang w:val="uk-UA"/>
        </w:rPr>
        <w:t xml:space="preserve">дотацій </w:t>
      </w:r>
    </w:p>
    <w:p w:rsidR="003B4712" w:rsidRDefault="003B4712" w:rsidP="003B4712">
      <w:pPr>
        <w:jc w:val="both"/>
        <w:rPr>
          <w:b/>
          <w:szCs w:val="20"/>
          <w:lang w:val="uk-UA"/>
        </w:rPr>
      </w:pPr>
    </w:p>
    <w:p w:rsidR="003B4712" w:rsidRDefault="003B4712" w:rsidP="003B4712">
      <w:pPr>
        <w:jc w:val="both"/>
        <w:rPr>
          <w:szCs w:val="20"/>
          <w:lang w:val="uk-UA"/>
        </w:rPr>
      </w:pPr>
      <w:r w:rsidRPr="003B4712">
        <w:rPr>
          <w:szCs w:val="20"/>
          <w:lang w:val="uk-UA"/>
        </w:rPr>
        <w:t>Для опрацювання сис</w:t>
      </w:r>
      <w:r>
        <w:rPr>
          <w:szCs w:val="20"/>
          <w:lang w:val="uk-UA"/>
        </w:rPr>
        <w:t xml:space="preserve">теми та механізму дотацій при </w:t>
      </w:r>
      <w:r w:rsidR="00222AD2">
        <w:rPr>
          <w:szCs w:val="20"/>
          <w:lang w:val="uk-UA"/>
        </w:rPr>
        <w:t>М</w:t>
      </w:r>
      <w:r>
        <w:rPr>
          <w:szCs w:val="20"/>
          <w:lang w:val="uk-UA"/>
        </w:rPr>
        <w:t xml:space="preserve">іністерстві аграрної політики та продовольства </w:t>
      </w:r>
      <w:r w:rsidR="00411659">
        <w:rPr>
          <w:szCs w:val="20"/>
          <w:lang w:val="uk-UA"/>
        </w:rPr>
        <w:t xml:space="preserve">України </w:t>
      </w:r>
      <w:r>
        <w:rPr>
          <w:szCs w:val="20"/>
          <w:lang w:val="uk-UA"/>
        </w:rPr>
        <w:t>створюється робоча група та авторський колектив.</w:t>
      </w:r>
    </w:p>
    <w:p w:rsidR="00222AD2" w:rsidRDefault="00222AD2" w:rsidP="003B4712">
      <w:pPr>
        <w:jc w:val="both"/>
        <w:rPr>
          <w:szCs w:val="20"/>
          <w:lang w:val="uk-UA"/>
        </w:rPr>
      </w:pPr>
    </w:p>
    <w:p w:rsidR="00222AD2" w:rsidRDefault="00222AD2" w:rsidP="003B4712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>Механізм надання дотацій затверджується наказом Міністерства</w:t>
      </w:r>
      <w:r w:rsidR="00411659">
        <w:rPr>
          <w:szCs w:val="20"/>
          <w:lang w:val="uk-UA"/>
        </w:rPr>
        <w:t xml:space="preserve">, в наказі передбачається реалізація пілотних проектів по відпрацюванню механізму надання дотацій і визначається система організаційно-інформаційних заходів з поширення інформації про систему </w:t>
      </w:r>
      <w:r w:rsidR="00B51102">
        <w:rPr>
          <w:szCs w:val="20"/>
          <w:lang w:val="uk-UA"/>
        </w:rPr>
        <w:t xml:space="preserve">надання дотацій для </w:t>
      </w:r>
      <w:r w:rsidR="00411659">
        <w:rPr>
          <w:szCs w:val="20"/>
          <w:lang w:val="uk-UA"/>
        </w:rPr>
        <w:t>малого та середнього сільгоспви</w:t>
      </w:r>
      <w:r w:rsidR="002779E6">
        <w:rPr>
          <w:szCs w:val="20"/>
          <w:lang w:val="uk-UA"/>
        </w:rPr>
        <w:t>робника, у тому числі за участю провідних громадських організацій та їхніх аналітичних центрів.</w:t>
      </w:r>
    </w:p>
    <w:p w:rsidR="00411659" w:rsidRDefault="00411659" w:rsidP="003B4712">
      <w:pPr>
        <w:jc w:val="both"/>
        <w:rPr>
          <w:szCs w:val="20"/>
          <w:lang w:val="uk-UA"/>
        </w:rPr>
      </w:pPr>
    </w:p>
    <w:p w:rsidR="00411659" w:rsidRDefault="00411659" w:rsidP="003B4712">
      <w:pPr>
        <w:jc w:val="both"/>
        <w:rPr>
          <w:szCs w:val="20"/>
          <w:lang w:val="uk-UA"/>
        </w:rPr>
      </w:pPr>
    </w:p>
    <w:p w:rsidR="00411659" w:rsidRDefault="00411659" w:rsidP="003B4712">
      <w:pPr>
        <w:jc w:val="both"/>
        <w:rPr>
          <w:szCs w:val="20"/>
          <w:lang w:val="uk-UA"/>
        </w:rPr>
      </w:pPr>
    </w:p>
    <w:p w:rsidR="00411659" w:rsidRDefault="00411659" w:rsidP="003B4712">
      <w:pPr>
        <w:jc w:val="both"/>
        <w:rPr>
          <w:szCs w:val="20"/>
          <w:lang w:val="uk-UA"/>
        </w:rPr>
      </w:pPr>
    </w:p>
    <w:p w:rsidR="00222AD2" w:rsidRDefault="00222AD2" w:rsidP="003B4712">
      <w:pPr>
        <w:jc w:val="both"/>
        <w:rPr>
          <w:szCs w:val="20"/>
          <w:lang w:val="uk-UA"/>
        </w:rPr>
      </w:pPr>
    </w:p>
    <w:p w:rsidR="00222AD2" w:rsidRDefault="00222AD2" w:rsidP="003B4712">
      <w:pPr>
        <w:jc w:val="both"/>
        <w:rPr>
          <w:szCs w:val="20"/>
          <w:lang w:val="uk-UA"/>
        </w:rPr>
      </w:pPr>
    </w:p>
    <w:p w:rsidR="003B4712" w:rsidRDefault="003B4712" w:rsidP="003B4712">
      <w:pPr>
        <w:jc w:val="both"/>
        <w:rPr>
          <w:szCs w:val="20"/>
          <w:lang w:val="uk-UA"/>
        </w:rPr>
      </w:pPr>
    </w:p>
    <w:p w:rsidR="003B4712" w:rsidRPr="003B4712" w:rsidRDefault="003B4712" w:rsidP="003B4712">
      <w:pPr>
        <w:jc w:val="both"/>
        <w:rPr>
          <w:szCs w:val="20"/>
          <w:lang w:val="uk-UA"/>
        </w:rPr>
      </w:pPr>
    </w:p>
    <w:p w:rsidR="003B4712" w:rsidRPr="003B4712" w:rsidRDefault="003B4712" w:rsidP="003B4712">
      <w:pPr>
        <w:rPr>
          <w:szCs w:val="20"/>
          <w:lang w:val="uk-UA"/>
        </w:rPr>
      </w:pPr>
    </w:p>
    <w:sectPr w:rsidR="003B4712" w:rsidRPr="003B4712" w:rsidSect="000C0A5A">
      <w:headerReference w:type="default" r:id="rId8"/>
      <w:footerReference w:type="default" r:id="rId9"/>
      <w:pgSz w:w="11906" w:h="16838"/>
      <w:pgMar w:top="1134" w:right="850" w:bottom="1134" w:left="1701" w:header="142" w:footer="5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578" w:rsidRDefault="00D60578" w:rsidP="00EA6246">
      <w:r>
        <w:separator/>
      </w:r>
    </w:p>
  </w:endnote>
  <w:endnote w:type="continuationSeparator" w:id="1">
    <w:p w:rsidR="00D60578" w:rsidRDefault="00D60578" w:rsidP="00EA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59" w:rsidRPr="002C718D" w:rsidRDefault="00F035BB" w:rsidP="0074156F">
    <w:pPr>
      <w:pStyle w:val="af0"/>
      <w:jc w:val="right"/>
      <w:rPr>
        <w:rFonts w:ascii="Georgia" w:hAnsi="Georgia"/>
        <w:sz w:val="22"/>
        <w:lang w:val="uk-UA"/>
      </w:rPr>
    </w:pPr>
    <w:r w:rsidRPr="00F035BB">
      <w:rPr>
        <w:rFonts w:ascii="Georgia" w:hAnsi="Georgia"/>
        <w:i/>
        <w:noProof/>
        <w:sz w:val="18"/>
        <w:szCs w:val="18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4" type="#_x0000_t32" style="position:absolute;left:0;text-align:left;margin-left:-84.65pt;margin-top:-3.25pt;width:595pt;height:0;z-index:251660288" o:connectortype="straight">
          <w10:wrap type="square" anchorx="margin" anchory="margin"/>
        </v:shape>
      </w:pict>
    </w:r>
    <w:r w:rsidR="002C5C59" w:rsidRPr="002C718D">
      <w:rPr>
        <w:rFonts w:ascii="Georgia" w:hAnsi="Georgia"/>
        <w:i/>
        <w:sz w:val="18"/>
        <w:szCs w:val="18"/>
        <w:lang w:val="uk-UA"/>
      </w:rPr>
      <w:t>Версія 1</w:t>
    </w:r>
    <w:r w:rsidR="002C5C59">
      <w:rPr>
        <w:rFonts w:ascii="Georgia" w:hAnsi="Georgia"/>
        <w:i/>
        <w:sz w:val="18"/>
        <w:szCs w:val="18"/>
        <w:lang w:val="uk-UA"/>
      </w:rPr>
      <w:t>8</w:t>
    </w:r>
    <w:r w:rsidR="002C5C59" w:rsidRPr="002C718D">
      <w:rPr>
        <w:rFonts w:ascii="Georgia" w:hAnsi="Georgia"/>
        <w:i/>
        <w:sz w:val="18"/>
        <w:szCs w:val="18"/>
        <w:lang w:val="uk-UA"/>
      </w:rPr>
      <w:t>.0</w:t>
    </w:r>
    <w:r w:rsidR="002C5C59">
      <w:rPr>
        <w:rFonts w:ascii="Georgia" w:hAnsi="Georgia"/>
        <w:i/>
        <w:sz w:val="18"/>
        <w:szCs w:val="18"/>
        <w:lang w:val="uk-UA"/>
      </w:rPr>
      <w:t>5</w:t>
    </w:r>
    <w:r w:rsidR="002C5C59" w:rsidRPr="002C718D">
      <w:rPr>
        <w:rFonts w:ascii="Georgia" w:hAnsi="Georgia"/>
        <w:i/>
        <w:sz w:val="18"/>
        <w:szCs w:val="18"/>
        <w:lang w:val="uk-UA"/>
      </w:rPr>
      <w:t>.2016</w:t>
    </w:r>
    <w:r w:rsidR="002C5C59" w:rsidRPr="002C718D">
      <w:rPr>
        <w:rFonts w:ascii="Georgia" w:hAnsi="Georgia"/>
        <w:sz w:val="18"/>
        <w:szCs w:val="18"/>
        <w:lang w:val="uk-UA"/>
      </w:rPr>
      <w:t xml:space="preserve">     </w:t>
    </w:r>
    <w:r w:rsidRPr="002C718D">
      <w:rPr>
        <w:rFonts w:ascii="Georgia" w:hAnsi="Georgia"/>
        <w:sz w:val="22"/>
        <w:lang w:val="uk-UA"/>
      </w:rPr>
      <w:fldChar w:fldCharType="begin"/>
    </w:r>
    <w:r w:rsidR="002C5C59" w:rsidRPr="002C718D">
      <w:rPr>
        <w:rFonts w:ascii="Georgia" w:hAnsi="Georgia"/>
        <w:sz w:val="22"/>
        <w:lang w:val="uk-UA"/>
      </w:rPr>
      <w:instrText xml:space="preserve"> PAGE   \* MERGEFORMAT </w:instrText>
    </w:r>
    <w:r w:rsidRPr="002C718D">
      <w:rPr>
        <w:rFonts w:ascii="Georgia" w:hAnsi="Georgia"/>
        <w:sz w:val="22"/>
        <w:lang w:val="uk-UA"/>
      </w:rPr>
      <w:fldChar w:fldCharType="separate"/>
    </w:r>
    <w:r w:rsidR="00A917B2">
      <w:rPr>
        <w:rFonts w:ascii="Georgia" w:hAnsi="Georgia"/>
        <w:noProof/>
        <w:sz w:val="22"/>
        <w:lang w:val="uk-UA"/>
      </w:rPr>
      <w:t>4</w:t>
    </w:r>
    <w:r w:rsidRPr="002C718D">
      <w:rPr>
        <w:rFonts w:ascii="Georgia" w:hAnsi="Georgia"/>
        <w:sz w:val="22"/>
        <w:lang w:val="uk-U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578" w:rsidRDefault="00D60578" w:rsidP="00EA6246">
      <w:r>
        <w:separator/>
      </w:r>
    </w:p>
  </w:footnote>
  <w:footnote w:type="continuationSeparator" w:id="1">
    <w:p w:rsidR="00D60578" w:rsidRDefault="00D60578" w:rsidP="00EA6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59" w:rsidRDefault="002C5C59" w:rsidP="00EA6246">
    <w:pPr>
      <w:pStyle w:val="ae"/>
      <w:ind w:firstLine="1416"/>
      <w:rPr>
        <w:rFonts w:ascii="Georgia" w:hAnsi="Georgia" w:cs="Times New Roman"/>
        <w:lang w:val="uk-UA"/>
      </w:rPr>
    </w:pPr>
    <w:r>
      <w:rPr>
        <w:rFonts w:ascii="Georgia" w:hAnsi="Georgia" w:cs="Times New Roman"/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5600065</wp:posOffset>
          </wp:positionH>
          <wp:positionV relativeFrom="margin">
            <wp:posOffset>-643890</wp:posOffset>
          </wp:positionV>
          <wp:extent cx="577850" cy="596900"/>
          <wp:effectExtent l="19050" t="0" r="0" b="0"/>
          <wp:wrapSquare wrapText="bothSides"/>
          <wp:docPr id="1" name="Рисунок 1" descr="E:\Current\Agr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urrent\Agr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5C59" w:rsidRPr="00EA6246" w:rsidRDefault="002C5C59" w:rsidP="00EA6246">
    <w:pPr>
      <w:pStyle w:val="ae"/>
      <w:tabs>
        <w:tab w:val="clear" w:pos="9355"/>
        <w:tab w:val="right" w:pos="8647"/>
      </w:tabs>
      <w:ind w:right="850"/>
      <w:jc w:val="right"/>
      <w:rPr>
        <w:rFonts w:ascii="Georgia" w:hAnsi="Georgia" w:cs="Times New Roman"/>
        <w:sz w:val="22"/>
        <w:lang w:val="uk-UA"/>
      </w:rPr>
    </w:pPr>
    <w:r>
      <w:rPr>
        <w:rFonts w:ascii="Georgia" w:hAnsi="Georgia" w:cs="Times New Roman"/>
        <w:lang w:val="uk-UA"/>
      </w:rPr>
      <w:t xml:space="preserve">                       </w:t>
    </w:r>
    <w:r w:rsidRPr="00EA6246">
      <w:rPr>
        <w:rFonts w:ascii="Georgia" w:hAnsi="Georgia" w:cs="Times New Roman"/>
        <w:sz w:val="22"/>
        <w:lang w:val="uk-UA"/>
      </w:rPr>
      <w:t>Аграрний союз України</w:t>
    </w:r>
  </w:p>
  <w:p w:rsidR="002C5C59" w:rsidRPr="00EA6246" w:rsidRDefault="00F035BB" w:rsidP="00EA6246">
    <w:pPr>
      <w:pStyle w:val="ae"/>
      <w:tabs>
        <w:tab w:val="clear" w:pos="9355"/>
        <w:tab w:val="right" w:pos="8647"/>
      </w:tabs>
      <w:ind w:right="850"/>
      <w:jc w:val="right"/>
      <w:rPr>
        <w:rFonts w:ascii="Georgia" w:hAnsi="Georgia" w:cs="Times New Roman"/>
      </w:rPr>
    </w:pPr>
    <w:r>
      <w:rPr>
        <w:rFonts w:ascii="Georgia" w:hAnsi="Georgia" w:cs="Times New Roman"/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left:0;text-align:left;margin-left:-84.55pt;margin-top:24.55pt;width:592.5pt;height:0;z-index:251659264" o:connectortype="straight">
          <w10:wrap type="square" anchorx="margin" anchory="margin"/>
        </v:shape>
      </w:pict>
    </w:r>
    <w:r w:rsidR="002C5C59">
      <w:rPr>
        <w:rFonts w:ascii="Georgia" w:hAnsi="Georgia" w:cs="Times New Roman"/>
        <w:lang w:val="uk-UA"/>
      </w:rPr>
      <w:t xml:space="preserve">                       </w:t>
    </w:r>
    <w:r w:rsidR="002C5C59" w:rsidRPr="00EA6246">
      <w:rPr>
        <w:rFonts w:ascii="Georgia" w:hAnsi="Georgia" w:cs="Times New Roman"/>
        <w:lang w:val="uk-UA"/>
      </w:rPr>
      <w:t>Аналітичний центр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FDD"/>
    <w:multiLevelType w:val="hybridMultilevel"/>
    <w:tmpl w:val="DE5C3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67F11"/>
    <w:multiLevelType w:val="hybridMultilevel"/>
    <w:tmpl w:val="2CDEA2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93C52"/>
    <w:multiLevelType w:val="hybridMultilevel"/>
    <w:tmpl w:val="F09AF0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481FCE"/>
    <w:multiLevelType w:val="multilevel"/>
    <w:tmpl w:val="C58069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E531F4"/>
    <w:multiLevelType w:val="hybridMultilevel"/>
    <w:tmpl w:val="9CCCE5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62293"/>
    <w:multiLevelType w:val="hybridMultilevel"/>
    <w:tmpl w:val="4E50C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32CE8"/>
    <w:multiLevelType w:val="hybridMultilevel"/>
    <w:tmpl w:val="1A36F1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6910FA"/>
    <w:multiLevelType w:val="multilevel"/>
    <w:tmpl w:val="067E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E86694"/>
    <w:multiLevelType w:val="hybridMultilevel"/>
    <w:tmpl w:val="FA729E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D864A8"/>
    <w:multiLevelType w:val="hybridMultilevel"/>
    <w:tmpl w:val="CE4AABB8"/>
    <w:lvl w:ilvl="0" w:tplc="3F9807C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9A6CFC"/>
    <w:multiLevelType w:val="hybridMultilevel"/>
    <w:tmpl w:val="AFEA2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3159E2"/>
    <w:multiLevelType w:val="multilevel"/>
    <w:tmpl w:val="E5627F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2A47F41"/>
    <w:multiLevelType w:val="hybridMultilevel"/>
    <w:tmpl w:val="B0846AFE"/>
    <w:lvl w:ilvl="0" w:tplc="AFE804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677E92"/>
    <w:multiLevelType w:val="hybridMultilevel"/>
    <w:tmpl w:val="B0F057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70372D"/>
    <w:multiLevelType w:val="multilevel"/>
    <w:tmpl w:val="9D126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1C73848"/>
    <w:multiLevelType w:val="hybridMultilevel"/>
    <w:tmpl w:val="BBC4E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990FEA"/>
    <w:multiLevelType w:val="hybridMultilevel"/>
    <w:tmpl w:val="067ABF38"/>
    <w:lvl w:ilvl="0" w:tplc="A1FE0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076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2A8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AF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A1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86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47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09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0A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3"/>
  </w:num>
  <w:num w:numId="5">
    <w:abstractNumId w:val="10"/>
  </w:num>
  <w:num w:numId="6">
    <w:abstractNumId w:val="1"/>
  </w:num>
  <w:num w:numId="7">
    <w:abstractNumId w:val="15"/>
  </w:num>
  <w:num w:numId="8">
    <w:abstractNumId w:val="2"/>
  </w:num>
  <w:num w:numId="9">
    <w:abstractNumId w:val="9"/>
  </w:num>
  <w:num w:numId="10">
    <w:abstractNumId w:val="16"/>
  </w:num>
  <w:num w:numId="11">
    <w:abstractNumId w:val="12"/>
  </w:num>
  <w:num w:numId="12">
    <w:abstractNumId w:val="4"/>
  </w:num>
  <w:num w:numId="13">
    <w:abstractNumId w:val="0"/>
  </w:num>
  <w:num w:numId="14">
    <w:abstractNumId w:val="14"/>
  </w:num>
  <w:num w:numId="15">
    <w:abstractNumId w:val="7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28674"/>
    <o:shapelayout v:ext="edit">
      <o:idmap v:ext="edit" data="5"/>
      <o:rules v:ext="edit">
        <o:r id="V:Rule3" type="connector" idref="#_x0000_s5121"/>
        <o:r id="V:Rule4" type="connector" idref="#_x0000_s512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C4C88"/>
    <w:rsid w:val="00015BE1"/>
    <w:rsid w:val="00020E5C"/>
    <w:rsid w:val="00026620"/>
    <w:rsid w:val="000341E6"/>
    <w:rsid w:val="00037BC0"/>
    <w:rsid w:val="00041C9D"/>
    <w:rsid w:val="00055F84"/>
    <w:rsid w:val="000609DD"/>
    <w:rsid w:val="00063962"/>
    <w:rsid w:val="00070C79"/>
    <w:rsid w:val="00086C77"/>
    <w:rsid w:val="000A5C77"/>
    <w:rsid w:val="000A6B3A"/>
    <w:rsid w:val="000B0891"/>
    <w:rsid w:val="000C0A5A"/>
    <w:rsid w:val="000C7EDC"/>
    <w:rsid w:val="00115305"/>
    <w:rsid w:val="00125E80"/>
    <w:rsid w:val="001364C1"/>
    <w:rsid w:val="00136C61"/>
    <w:rsid w:val="00150A7C"/>
    <w:rsid w:val="001716D4"/>
    <w:rsid w:val="00190293"/>
    <w:rsid w:val="0019402F"/>
    <w:rsid w:val="001A5E68"/>
    <w:rsid w:val="001B26D2"/>
    <w:rsid w:val="001C69AB"/>
    <w:rsid w:val="001D4D5A"/>
    <w:rsid w:val="001D507B"/>
    <w:rsid w:val="001E734C"/>
    <w:rsid w:val="001F22C6"/>
    <w:rsid w:val="001F5E66"/>
    <w:rsid w:val="0021271C"/>
    <w:rsid w:val="00216E39"/>
    <w:rsid w:val="00222AD2"/>
    <w:rsid w:val="0023025D"/>
    <w:rsid w:val="00232C32"/>
    <w:rsid w:val="00240053"/>
    <w:rsid w:val="00240C91"/>
    <w:rsid w:val="002502E4"/>
    <w:rsid w:val="00251933"/>
    <w:rsid w:val="0025626A"/>
    <w:rsid w:val="002779E6"/>
    <w:rsid w:val="002822BD"/>
    <w:rsid w:val="0029674D"/>
    <w:rsid w:val="00296E2D"/>
    <w:rsid w:val="002B69CF"/>
    <w:rsid w:val="002C5C59"/>
    <w:rsid w:val="002C718D"/>
    <w:rsid w:val="002F60D3"/>
    <w:rsid w:val="00300D64"/>
    <w:rsid w:val="00310905"/>
    <w:rsid w:val="00312BEA"/>
    <w:rsid w:val="0031507D"/>
    <w:rsid w:val="00317C09"/>
    <w:rsid w:val="00330545"/>
    <w:rsid w:val="00334C57"/>
    <w:rsid w:val="00336C07"/>
    <w:rsid w:val="00344BE8"/>
    <w:rsid w:val="00354C84"/>
    <w:rsid w:val="00381D14"/>
    <w:rsid w:val="003B4712"/>
    <w:rsid w:val="003B48BF"/>
    <w:rsid w:val="003B4D69"/>
    <w:rsid w:val="003B72BD"/>
    <w:rsid w:val="003D2C05"/>
    <w:rsid w:val="003D4F6E"/>
    <w:rsid w:val="003F1284"/>
    <w:rsid w:val="003F33F2"/>
    <w:rsid w:val="00403118"/>
    <w:rsid w:val="00405D86"/>
    <w:rsid w:val="00411659"/>
    <w:rsid w:val="0041558D"/>
    <w:rsid w:val="004273F8"/>
    <w:rsid w:val="0043008E"/>
    <w:rsid w:val="004465F8"/>
    <w:rsid w:val="00475F90"/>
    <w:rsid w:val="004C7CAB"/>
    <w:rsid w:val="004E634C"/>
    <w:rsid w:val="00512658"/>
    <w:rsid w:val="0054105D"/>
    <w:rsid w:val="00551823"/>
    <w:rsid w:val="005662AE"/>
    <w:rsid w:val="005728E4"/>
    <w:rsid w:val="00576A57"/>
    <w:rsid w:val="00582110"/>
    <w:rsid w:val="00584DF7"/>
    <w:rsid w:val="005C1FC6"/>
    <w:rsid w:val="005C4979"/>
    <w:rsid w:val="005C565E"/>
    <w:rsid w:val="005D1F3A"/>
    <w:rsid w:val="005F36CD"/>
    <w:rsid w:val="005F6839"/>
    <w:rsid w:val="00604AF3"/>
    <w:rsid w:val="00630AC2"/>
    <w:rsid w:val="00635AD4"/>
    <w:rsid w:val="00655245"/>
    <w:rsid w:val="00674D8E"/>
    <w:rsid w:val="006C23DA"/>
    <w:rsid w:val="006C59E8"/>
    <w:rsid w:val="006C7177"/>
    <w:rsid w:val="006D3F52"/>
    <w:rsid w:val="006D7BD1"/>
    <w:rsid w:val="006E6AD7"/>
    <w:rsid w:val="006F2209"/>
    <w:rsid w:val="006F3169"/>
    <w:rsid w:val="006F5505"/>
    <w:rsid w:val="00707333"/>
    <w:rsid w:val="00710BB1"/>
    <w:rsid w:val="0074156F"/>
    <w:rsid w:val="00750A12"/>
    <w:rsid w:val="00766970"/>
    <w:rsid w:val="0077071D"/>
    <w:rsid w:val="007712C0"/>
    <w:rsid w:val="00781A74"/>
    <w:rsid w:val="007825A9"/>
    <w:rsid w:val="007A0A33"/>
    <w:rsid w:val="007D6C96"/>
    <w:rsid w:val="007E43CC"/>
    <w:rsid w:val="007E630D"/>
    <w:rsid w:val="00802604"/>
    <w:rsid w:val="0081548A"/>
    <w:rsid w:val="00827E0D"/>
    <w:rsid w:val="00835A2E"/>
    <w:rsid w:val="00836B66"/>
    <w:rsid w:val="00840E7D"/>
    <w:rsid w:val="0084580B"/>
    <w:rsid w:val="00864454"/>
    <w:rsid w:val="008866CA"/>
    <w:rsid w:val="008913F8"/>
    <w:rsid w:val="008B197B"/>
    <w:rsid w:val="008D36E1"/>
    <w:rsid w:val="008F3718"/>
    <w:rsid w:val="00914893"/>
    <w:rsid w:val="00915D65"/>
    <w:rsid w:val="00922A6A"/>
    <w:rsid w:val="00927146"/>
    <w:rsid w:val="00950196"/>
    <w:rsid w:val="00963449"/>
    <w:rsid w:val="009869F9"/>
    <w:rsid w:val="00995DD4"/>
    <w:rsid w:val="009A4A04"/>
    <w:rsid w:val="009C0DC8"/>
    <w:rsid w:val="009C5624"/>
    <w:rsid w:val="009E34C5"/>
    <w:rsid w:val="009E72D7"/>
    <w:rsid w:val="009F0332"/>
    <w:rsid w:val="00A06C90"/>
    <w:rsid w:val="00A16981"/>
    <w:rsid w:val="00A22F17"/>
    <w:rsid w:val="00A34BF8"/>
    <w:rsid w:val="00A3666F"/>
    <w:rsid w:val="00A81DB1"/>
    <w:rsid w:val="00A83932"/>
    <w:rsid w:val="00A917B2"/>
    <w:rsid w:val="00A96843"/>
    <w:rsid w:val="00AD6051"/>
    <w:rsid w:val="00AE0ACA"/>
    <w:rsid w:val="00AF769D"/>
    <w:rsid w:val="00B052F1"/>
    <w:rsid w:val="00B232DE"/>
    <w:rsid w:val="00B51102"/>
    <w:rsid w:val="00B53DCB"/>
    <w:rsid w:val="00B652ED"/>
    <w:rsid w:val="00B72136"/>
    <w:rsid w:val="00B7425C"/>
    <w:rsid w:val="00B81274"/>
    <w:rsid w:val="00B81D1A"/>
    <w:rsid w:val="00B858CD"/>
    <w:rsid w:val="00BA6334"/>
    <w:rsid w:val="00BA702B"/>
    <w:rsid w:val="00BE1EE2"/>
    <w:rsid w:val="00BE4AF5"/>
    <w:rsid w:val="00C0004A"/>
    <w:rsid w:val="00C00D12"/>
    <w:rsid w:val="00C06C6A"/>
    <w:rsid w:val="00C07F97"/>
    <w:rsid w:val="00C52446"/>
    <w:rsid w:val="00C57442"/>
    <w:rsid w:val="00C57F32"/>
    <w:rsid w:val="00C7559E"/>
    <w:rsid w:val="00C809C3"/>
    <w:rsid w:val="00C8173E"/>
    <w:rsid w:val="00C8716D"/>
    <w:rsid w:val="00C92FE1"/>
    <w:rsid w:val="00C93138"/>
    <w:rsid w:val="00CC0AF8"/>
    <w:rsid w:val="00CC4C88"/>
    <w:rsid w:val="00CF1511"/>
    <w:rsid w:val="00CF354C"/>
    <w:rsid w:val="00D133F6"/>
    <w:rsid w:val="00D25AA7"/>
    <w:rsid w:val="00D27D1A"/>
    <w:rsid w:val="00D3026B"/>
    <w:rsid w:val="00D55AC6"/>
    <w:rsid w:val="00D60578"/>
    <w:rsid w:val="00D71F27"/>
    <w:rsid w:val="00D920BF"/>
    <w:rsid w:val="00D977C4"/>
    <w:rsid w:val="00DA1930"/>
    <w:rsid w:val="00DA5A3C"/>
    <w:rsid w:val="00DA71E4"/>
    <w:rsid w:val="00DC25B0"/>
    <w:rsid w:val="00DE0C36"/>
    <w:rsid w:val="00E21D15"/>
    <w:rsid w:val="00E22F89"/>
    <w:rsid w:val="00E24682"/>
    <w:rsid w:val="00E320AE"/>
    <w:rsid w:val="00E60F25"/>
    <w:rsid w:val="00E731C5"/>
    <w:rsid w:val="00E80DC0"/>
    <w:rsid w:val="00E8605A"/>
    <w:rsid w:val="00E90D2B"/>
    <w:rsid w:val="00EA50D9"/>
    <w:rsid w:val="00EA6246"/>
    <w:rsid w:val="00EB612E"/>
    <w:rsid w:val="00EC4F36"/>
    <w:rsid w:val="00ED1D1D"/>
    <w:rsid w:val="00EF18F3"/>
    <w:rsid w:val="00F035BB"/>
    <w:rsid w:val="00F178BF"/>
    <w:rsid w:val="00F20C96"/>
    <w:rsid w:val="00F20E72"/>
    <w:rsid w:val="00F22FA3"/>
    <w:rsid w:val="00F30527"/>
    <w:rsid w:val="00F37CF5"/>
    <w:rsid w:val="00F402A2"/>
    <w:rsid w:val="00F51FB7"/>
    <w:rsid w:val="00F53BC8"/>
    <w:rsid w:val="00FC6F8F"/>
    <w:rsid w:val="00FE4FCD"/>
    <w:rsid w:val="00FE6A68"/>
    <w:rsid w:val="00FF2617"/>
    <w:rsid w:val="00FF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88"/>
    <w:pPr>
      <w:spacing w:after="0" w:line="240" w:lineRule="auto"/>
    </w:pPr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584D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D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D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D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D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4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4D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4D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4D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4D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584D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4D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584DF7"/>
    <w:rPr>
      <w:b/>
      <w:bCs/>
    </w:rPr>
  </w:style>
  <w:style w:type="character" w:styleId="a6">
    <w:name w:val="Emphasis"/>
    <w:basedOn w:val="a0"/>
    <w:uiPriority w:val="20"/>
    <w:qFormat/>
    <w:rsid w:val="00584DF7"/>
    <w:rPr>
      <w:i/>
      <w:iCs/>
    </w:rPr>
  </w:style>
  <w:style w:type="paragraph" w:styleId="a7">
    <w:name w:val="List Paragraph"/>
    <w:basedOn w:val="a"/>
    <w:uiPriority w:val="34"/>
    <w:qFormat/>
    <w:rsid w:val="00584D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4DF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4DF7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584D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584DF7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584DF7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584DF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584DF7"/>
    <w:rPr>
      <w:b/>
      <w:bCs/>
      <w:smallCaps/>
      <w:spacing w:val="5"/>
    </w:rPr>
  </w:style>
  <w:style w:type="table" w:styleId="ad">
    <w:name w:val="Table Grid"/>
    <w:basedOn w:val="a1"/>
    <w:uiPriority w:val="59"/>
    <w:rsid w:val="00707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EA62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A6246"/>
    <w:rPr>
      <w:rFonts w:ascii="Arial" w:hAnsi="Arial"/>
      <w:sz w:val="20"/>
    </w:rPr>
  </w:style>
  <w:style w:type="paragraph" w:styleId="af0">
    <w:name w:val="footer"/>
    <w:basedOn w:val="a"/>
    <w:link w:val="af1"/>
    <w:uiPriority w:val="99"/>
    <w:unhideWhenUsed/>
    <w:rsid w:val="00EA62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6246"/>
    <w:rPr>
      <w:rFonts w:ascii="Arial" w:hAnsi="Arial"/>
      <w:sz w:val="20"/>
    </w:rPr>
  </w:style>
  <w:style w:type="paragraph" w:styleId="af2">
    <w:name w:val="Balloon Text"/>
    <w:basedOn w:val="a"/>
    <w:link w:val="af3"/>
    <w:uiPriority w:val="99"/>
    <w:semiHidden/>
    <w:unhideWhenUsed/>
    <w:rsid w:val="00EA624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6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8DF5-0C7B-4629-9D08-5E51A49B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8</cp:revision>
  <dcterms:created xsi:type="dcterms:W3CDTF">2016-05-23T07:30:00Z</dcterms:created>
  <dcterms:modified xsi:type="dcterms:W3CDTF">2016-05-31T17:34:00Z</dcterms:modified>
</cp:coreProperties>
</file>